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1047122"/>
    <w:bookmarkStart w:id="1" w:name="_Toc481048795"/>
    <w:p w14:paraId="0E74A527" w14:textId="77777777" w:rsidR="00F60368" w:rsidRDefault="00A614DE" w:rsidP="00F60368">
      <w:pPr>
        <w:pStyle w:val="Titre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59264" behindDoc="0" locked="0" layoutInCell="1" allowOverlap="1" wp14:anchorId="4D97C026" wp14:editId="51B343B3">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557D" w14:textId="77777777" w:rsidR="004D11BA" w:rsidRPr="00F60368" w:rsidRDefault="004D11BA" w:rsidP="00F60368">
                                <w:pPr>
                                  <w:pStyle w:val="Sous-titredudocument"/>
                                </w:pPr>
                                <w:bookmarkStart w:id="2" w:name="_Toc481047123"/>
                                <w:bookmarkStart w:id="3" w:name="_Toc481048796"/>
                                <w:r>
                                  <w:t xml:space="preserve">Données relatives à l’année </w:t>
                                </w:r>
                                <w:bookmarkEnd w:id="2"/>
                                <w:bookmarkEnd w:id="3"/>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7C026"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" filled="f" stroked="f">
                    <v:textbox>
                      <w:txbxContent>
                        <w:p w14:paraId="0FE3557D" w14:textId="77777777" w:rsidR="004D11BA" w:rsidRPr="00F60368" w:rsidRDefault="004D11BA" w:rsidP="00F60368">
                          <w:pPr>
                            <w:pStyle w:val="Sous-titredudocument"/>
                          </w:pPr>
                          <w:bookmarkStart w:id="4" w:name="_Toc481047123"/>
                          <w:bookmarkStart w:id="5" w:name="_Toc481048796"/>
                          <w:r>
                            <w:t xml:space="preserve">Données relatives à l’année </w:t>
                          </w:r>
                          <w:bookmarkEnd w:id="4"/>
                          <w:bookmarkEnd w:id="5"/>
                          <w:r>
                            <w:t>2017</w:t>
                          </w:r>
                        </w:p>
                      </w:txbxContent>
                    </v:textbox>
                  </v:shape>
                </w:pict>
              </mc:Fallback>
            </mc:AlternateContent>
          </w:r>
          <w:r w:rsidR="00A629C5">
            <w:rPr>
              <w:noProof/>
              <w:lang w:eastAsia="fr-BE"/>
            </w:rPr>
            <mc:AlternateContent>
              <mc:Choice Requires="wps">
                <w:drawing>
                  <wp:anchor distT="0" distB="0" distL="114300" distR="114300" simplePos="0" relativeHeight="251658240" behindDoc="0" locked="1" layoutInCell="1" allowOverlap="1" wp14:anchorId="65391852" wp14:editId="5A66EA03">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4B01" w14:textId="77777777" w:rsidR="004D11BA" w:rsidRPr="00091D48" w:rsidRDefault="004D11BA" w:rsidP="00E650E8">
                                <w:pPr>
                                  <w:pStyle w:val="Sansinterligne"/>
                                  <w:jc w:val="left"/>
                                  <w:rPr>
                                    <w:rFonts w:eastAsiaTheme="majorEastAsia" w:cs="Arial"/>
                                    <w:sz w:val="52"/>
                                    <w:szCs w:val="72"/>
                                    <w:lang w:val="fr-BE"/>
                                  </w:rPr>
                                </w:pPr>
                                <w:r w:rsidRPr="00091D48">
                                  <w:rPr>
                                    <w:rStyle w:val="TitreCar"/>
                                    <w:sz w:val="56"/>
                                    <w:lang w:val="fr-BE"/>
                                  </w:rPr>
                                  <w:t>Rapport d’activité de la Direction des Aides aux 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91852" id="Text Box 20" o:spid="_x0000_s1027" type="#_x0000_t202" style="position:absolute;left:0;text-align:left;margin-left:-16.15pt;margin-top:291.7pt;width:319.5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" filled="f" stroked="f">
                    <o:lock v:ext="edit" aspectratio="t"/>
                    <v:textbox>
                      <w:txbxContent>
                        <w:p w14:paraId="5CCA4B01" w14:textId="77777777" w:rsidR="004D11BA" w:rsidRPr="00091D48" w:rsidRDefault="004D11BA" w:rsidP="00E650E8">
                          <w:pPr>
                            <w:pStyle w:val="Sansinterligne"/>
                            <w:jc w:val="left"/>
                            <w:rPr>
                              <w:rFonts w:eastAsiaTheme="majorEastAsia" w:cs="Arial"/>
                              <w:sz w:val="52"/>
                              <w:szCs w:val="72"/>
                              <w:lang w:val="fr-BE"/>
                            </w:rPr>
                          </w:pPr>
                          <w:r w:rsidRPr="00091D48">
                            <w:rPr>
                              <w:rStyle w:val="TitreCar"/>
                              <w:sz w:val="56"/>
                              <w:lang w:val="fr-BE"/>
                            </w:rPr>
                            <w:t>Rapport d’activité de la Direction des Aides aux Entreprises</w:t>
                          </w:r>
                        </w:p>
                      </w:txbxContent>
                    </v:textbox>
                    <w10:wrap anchory="page"/>
                    <w10:anchorlock/>
                  </v:shape>
                </w:pict>
              </mc:Fallback>
            </mc:AlternateContent>
          </w:r>
        </w:sdtContent>
      </w:sdt>
      <w:bookmarkEnd w:id="0"/>
      <w:bookmarkEnd w:id="1"/>
    </w:p>
    <w:p w14:paraId="2BF0894F" w14:textId="77777777" w:rsidR="00F60368" w:rsidRDefault="00F60368"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val="fr-FR" w:eastAsia="en-US"/>
        </w:rPr>
        <w:id w:val="172777104"/>
        <w:docPartObj>
          <w:docPartGallery w:val="Table of Contents"/>
          <w:docPartUnique/>
        </w:docPartObj>
      </w:sdtPr>
      <w:sdtEndPr/>
      <w:sdtContent>
        <w:p w14:paraId="45D061C2" w14:textId="77777777" w:rsidR="00107150" w:rsidRDefault="00107150">
          <w:pPr>
            <w:pStyle w:val="En-ttedetabledesmatires"/>
          </w:pPr>
          <w:r>
            <w:rPr>
              <w:lang w:val="fr-FR"/>
            </w:rPr>
            <w:t>Contenu</w:t>
          </w:r>
        </w:p>
        <w:p w14:paraId="664322F2" w14:textId="77777777" w:rsidR="005C0B8D" w:rsidRDefault="00107150">
          <w:pPr>
            <w:pStyle w:val="TM1"/>
            <w:tabs>
              <w:tab w:val="right" w:leader="dot" w:pos="9060"/>
            </w:tabs>
            <w:rPr>
              <w:rFonts w:asciiTheme="minorHAnsi" w:eastAsiaTheme="minorEastAsia" w:hAnsiTheme="minorHAnsi"/>
              <w:noProof/>
              <w:sz w:val="22"/>
              <w:lang w:eastAsia="fr-BE"/>
            </w:rPr>
          </w:pPr>
          <w:r>
            <w:fldChar w:fldCharType="begin"/>
          </w:r>
          <w:r>
            <w:instrText xml:space="preserve"> TOC \o "1-3" \h \z \u </w:instrText>
          </w:r>
          <w:r>
            <w:fldChar w:fldCharType="separate"/>
          </w:r>
        </w:p>
        <w:p w14:paraId="38A08517"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797" w:history="1">
            <w:r w:rsidR="005C0B8D" w:rsidRPr="0005686A">
              <w:rPr>
                <w:rStyle w:val="Lienhypertexte"/>
                <w:noProof/>
              </w:rPr>
              <w:t>1</w:t>
            </w:r>
            <w:r w:rsidR="005C0B8D">
              <w:rPr>
                <w:rFonts w:asciiTheme="minorHAnsi" w:eastAsiaTheme="minorEastAsia" w:hAnsiTheme="minorHAnsi"/>
                <w:noProof/>
                <w:sz w:val="22"/>
                <w:lang w:eastAsia="fr-BE"/>
              </w:rPr>
              <w:tab/>
            </w:r>
            <w:r w:rsidR="005C0B8D" w:rsidRPr="0005686A">
              <w:rPr>
                <w:rStyle w:val="Lienhypertexte"/>
                <w:noProof/>
              </w:rPr>
              <w:t>Introduction</w:t>
            </w:r>
            <w:r w:rsidR="005C0B8D">
              <w:rPr>
                <w:noProof/>
                <w:webHidden/>
              </w:rPr>
              <w:tab/>
            </w:r>
            <w:r w:rsidR="005C0B8D">
              <w:rPr>
                <w:noProof/>
                <w:webHidden/>
              </w:rPr>
              <w:fldChar w:fldCharType="begin"/>
            </w:r>
            <w:r w:rsidR="005C0B8D">
              <w:rPr>
                <w:noProof/>
                <w:webHidden/>
              </w:rPr>
              <w:instrText xml:space="preserve"> PAGEREF _Toc481048797 \h </w:instrText>
            </w:r>
            <w:r w:rsidR="005C0B8D">
              <w:rPr>
                <w:noProof/>
                <w:webHidden/>
              </w:rPr>
            </w:r>
            <w:r w:rsidR="005C0B8D">
              <w:rPr>
                <w:noProof/>
                <w:webHidden/>
              </w:rPr>
              <w:fldChar w:fldCharType="separate"/>
            </w:r>
            <w:r w:rsidR="001516DF">
              <w:rPr>
                <w:noProof/>
                <w:webHidden/>
              </w:rPr>
              <w:t>3</w:t>
            </w:r>
            <w:r w:rsidR="005C0B8D">
              <w:rPr>
                <w:noProof/>
                <w:webHidden/>
              </w:rPr>
              <w:fldChar w:fldCharType="end"/>
            </w:r>
          </w:hyperlink>
        </w:p>
        <w:p w14:paraId="011EA1C5"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798" w:history="1">
            <w:r w:rsidR="005C0B8D" w:rsidRPr="0005686A">
              <w:rPr>
                <w:rStyle w:val="Lienhypertexte"/>
                <w:noProof/>
              </w:rPr>
              <w:t>2</w:t>
            </w:r>
            <w:r w:rsidR="005C0B8D">
              <w:rPr>
                <w:rFonts w:asciiTheme="minorHAnsi" w:eastAsiaTheme="minorEastAsia" w:hAnsiTheme="minorHAnsi"/>
                <w:noProof/>
                <w:sz w:val="22"/>
                <w:lang w:eastAsia="fr-BE"/>
              </w:rPr>
              <w:tab/>
            </w:r>
            <w:r w:rsidR="005C0B8D" w:rsidRPr="0005686A">
              <w:rPr>
                <w:rStyle w:val="Lienhypertexte"/>
                <w:noProof/>
              </w:rPr>
              <w:t>Présentation de la direction</w:t>
            </w:r>
            <w:r w:rsidR="005C0B8D">
              <w:rPr>
                <w:noProof/>
                <w:webHidden/>
              </w:rPr>
              <w:tab/>
            </w:r>
            <w:r w:rsidR="005C0B8D">
              <w:rPr>
                <w:noProof/>
                <w:webHidden/>
              </w:rPr>
              <w:fldChar w:fldCharType="begin"/>
            </w:r>
            <w:r w:rsidR="005C0B8D">
              <w:rPr>
                <w:noProof/>
                <w:webHidden/>
              </w:rPr>
              <w:instrText xml:space="preserve"> PAGEREF _Toc481048798 \h </w:instrText>
            </w:r>
            <w:r w:rsidR="005C0B8D">
              <w:rPr>
                <w:noProof/>
                <w:webHidden/>
              </w:rPr>
            </w:r>
            <w:r w:rsidR="005C0B8D">
              <w:rPr>
                <w:noProof/>
                <w:webHidden/>
              </w:rPr>
              <w:fldChar w:fldCharType="separate"/>
            </w:r>
            <w:r w:rsidR="001516DF">
              <w:rPr>
                <w:noProof/>
                <w:webHidden/>
              </w:rPr>
              <w:t>4</w:t>
            </w:r>
            <w:r w:rsidR="005C0B8D">
              <w:rPr>
                <w:noProof/>
                <w:webHidden/>
              </w:rPr>
              <w:fldChar w:fldCharType="end"/>
            </w:r>
          </w:hyperlink>
        </w:p>
        <w:p w14:paraId="0F30B0F3"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1" w:history="1">
            <w:r w:rsidR="005C0B8D" w:rsidRPr="0005686A">
              <w:rPr>
                <w:rStyle w:val="Lienhypertexte"/>
                <w:noProof/>
              </w:rPr>
              <w:t>3</w:t>
            </w:r>
            <w:r w:rsidR="005C0B8D">
              <w:rPr>
                <w:rFonts w:asciiTheme="minorHAnsi" w:eastAsiaTheme="minorEastAsia" w:hAnsiTheme="minorHAnsi"/>
                <w:noProof/>
                <w:sz w:val="22"/>
                <w:lang w:eastAsia="fr-BE"/>
              </w:rPr>
              <w:tab/>
            </w:r>
            <w:r w:rsidR="005C0B8D" w:rsidRPr="0005686A">
              <w:rPr>
                <w:rStyle w:val="Lienhypertexte"/>
                <w:noProof/>
              </w:rPr>
              <w:t>Vue d’ensemble : nombre de dossiers introduits et décidés</w:t>
            </w:r>
            <w:r w:rsidR="005C0B8D">
              <w:rPr>
                <w:noProof/>
                <w:webHidden/>
              </w:rPr>
              <w:tab/>
            </w:r>
            <w:r w:rsidR="005C0B8D">
              <w:rPr>
                <w:noProof/>
                <w:webHidden/>
              </w:rPr>
              <w:fldChar w:fldCharType="begin"/>
            </w:r>
            <w:r w:rsidR="005C0B8D">
              <w:rPr>
                <w:noProof/>
                <w:webHidden/>
              </w:rPr>
              <w:instrText xml:space="preserve"> PAGEREF _Toc481048801 \h </w:instrText>
            </w:r>
            <w:r w:rsidR="005C0B8D">
              <w:rPr>
                <w:noProof/>
                <w:webHidden/>
              </w:rPr>
            </w:r>
            <w:r w:rsidR="005C0B8D">
              <w:rPr>
                <w:noProof/>
                <w:webHidden/>
              </w:rPr>
              <w:fldChar w:fldCharType="separate"/>
            </w:r>
            <w:r w:rsidR="001516DF">
              <w:rPr>
                <w:noProof/>
                <w:webHidden/>
              </w:rPr>
              <w:t>6</w:t>
            </w:r>
            <w:r w:rsidR="005C0B8D">
              <w:rPr>
                <w:noProof/>
                <w:webHidden/>
              </w:rPr>
              <w:fldChar w:fldCharType="end"/>
            </w:r>
          </w:hyperlink>
        </w:p>
        <w:p w14:paraId="5A011E76"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2" w:history="1">
            <w:r w:rsidR="005C0B8D" w:rsidRPr="0005686A">
              <w:rPr>
                <w:rStyle w:val="Lienhypertexte"/>
                <w:noProof/>
              </w:rPr>
              <w:t>4</w:t>
            </w:r>
            <w:r w:rsidR="005C0B8D">
              <w:rPr>
                <w:rFonts w:asciiTheme="minorHAnsi" w:eastAsiaTheme="minorEastAsia" w:hAnsiTheme="minorHAnsi"/>
                <w:noProof/>
                <w:sz w:val="22"/>
                <w:lang w:eastAsia="fr-BE"/>
              </w:rPr>
              <w:tab/>
            </w:r>
            <w:r w:rsidR="005C0B8D" w:rsidRPr="0005686A">
              <w:rPr>
                <w:rStyle w:val="Lienhypertexte"/>
                <w:noProof/>
              </w:rPr>
              <w:t>Ordonnance organique du 13/12/2007 relative aux aides pour la promotion de l’expansion économique</w:t>
            </w:r>
            <w:r w:rsidR="005C0B8D">
              <w:rPr>
                <w:noProof/>
                <w:webHidden/>
              </w:rPr>
              <w:tab/>
            </w:r>
            <w:r w:rsidR="005C0B8D">
              <w:rPr>
                <w:noProof/>
                <w:webHidden/>
              </w:rPr>
              <w:fldChar w:fldCharType="begin"/>
            </w:r>
            <w:r w:rsidR="005C0B8D">
              <w:rPr>
                <w:noProof/>
                <w:webHidden/>
              </w:rPr>
              <w:instrText xml:space="preserve"> PAGEREF _Toc481048802 \h </w:instrText>
            </w:r>
            <w:r w:rsidR="005C0B8D">
              <w:rPr>
                <w:noProof/>
                <w:webHidden/>
              </w:rPr>
            </w:r>
            <w:r w:rsidR="005C0B8D">
              <w:rPr>
                <w:noProof/>
                <w:webHidden/>
              </w:rPr>
              <w:fldChar w:fldCharType="separate"/>
            </w:r>
            <w:r w:rsidR="001516DF">
              <w:rPr>
                <w:noProof/>
                <w:webHidden/>
              </w:rPr>
              <w:t>7</w:t>
            </w:r>
            <w:r w:rsidR="005C0B8D">
              <w:rPr>
                <w:noProof/>
                <w:webHidden/>
              </w:rPr>
              <w:fldChar w:fldCharType="end"/>
            </w:r>
          </w:hyperlink>
        </w:p>
        <w:p w14:paraId="77FA8572" w14:textId="77777777" w:rsidR="005C0B8D" w:rsidRDefault="00A614DE">
          <w:pPr>
            <w:pStyle w:val="TM2"/>
            <w:tabs>
              <w:tab w:val="left" w:pos="880"/>
              <w:tab w:val="right" w:leader="dot" w:pos="9060"/>
            </w:tabs>
            <w:rPr>
              <w:noProof/>
            </w:rPr>
          </w:pPr>
          <w:hyperlink w:anchor="_Toc481048803" w:history="1">
            <w:r w:rsidR="005C0B8D" w:rsidRPr="0005686A">
              <w:rPr>
                <w:rStyle w:val="Lienhypertexte"/>
                <w:noProof/>
              </w:rPr>
              <w:t>4.1</w:t>
            </w:r>
            <w:r w:rsidR="005C0B8D">
              <w:rPr>
                <w:noProof/>
              </w:rPr>
              <w:tab/>
            </w:r>
            <w:r w:rsidR="005C0B8D" w:rsidRPr="0005686A">
              <w:rPr>
                <w:rStyle w:val="Lienhypertexte"/>
                <w:noProof/>
              </w:rPr>
              <w:t>Les aides SOFT</w:t>
            </w:r>
            <w:r w:rsidR="005C0B8D">
              <w:rPr>
                <w:noProof/>
                <w:webHidden/>
              </w:rPr>
              <w:tab/>
            </w:r>
            <w:r w:rsidR="005C0B8D">
              <w:rPr>
                <w:noProof/>
                <w:webHidden/>
              </w:rPr>
              <w:fldChar w:fldCharType="begin"/>
            </w:r>
            <w:r w:rsidR="005C0B8D">
              <w:rPr>
                <w:noProof/>
                <w:webHidden/>
              </w:rPr>
              <w:instrText xml:space="preserve"> PAGEREF _Toc481048803 \h </w:instrText>
            </w:r>
            <w:r w:rsidR="005C0B8D">
              <w:rPr>
                <w:noProof/>
                <w:webHidden/>
              </w:rPr>
            </w:r>
            <w:r w:rsidR="005C0B8D">
              <w:rPr>
                <w:noProof/>
                <w:webHidden/>
              </w:rPr>
              <w:fldChar w:fldCharType="separate"/>
            </w:r>
            <w:r w:rsidR="001516DF">
              <w:rPr>
                <w:noProof/>
                <w:webHidden/>
              </w:rPr>
              <w:t>7</w:t>
            </w:r>
            <w:r w:rsidR="005C0B8D">
              <w:rPr>
                <w:noProof/>
                <w:webHidden/>
              </w:rPr>
              <w:fldChar w:fldCharType="end"/>
            </w:r>
          </w:hyperlink>
        </w:p>
        <w:p w14:paraId="60DE5036" w14:textId="77777777" w:rsidR="005C0B8D" w:rsidRDefault="00A614DE">
          <w:pPr>
            <w:pStyle w:val="TM2"/>
            <w:tabs>
              <w:tab w:val="left" w:pos="880"/>
              <w:tab w:val="right" w:leader="dot" w:pos="9060"/>
            </w:tabs>
            <w:rPr>
              <w:noProof/>
            </w:rPr>
          </w:pPr>
          <w:hyperlink w:anchor="_Toc481048804" w:history="1">
            <w:r w:rsidR="005C0B8D" w:rsidRPr="0005686A">
              <w:rPr>
                <w:rStyle w:val="Lienhypertexte"/>
                <w:noProof/>
              </w:rPr>
              <w:t>4.2</w:t>
            </w:r>
            <w:r w:rsidR="005C0B8D">
              <w:rPr>
                <w:noProof/>
              </w:rPr>
              <w:tab/>
            </w:r>
            <w:r w:rsidR="005C0B8D" w:rsidRPr="0005686A">
              <w:rPr>
                <w:rStyle w:val="Lienhypertexte"/>
                <w:noProof/>
              </w:rPr>
              <w:t>Les aides pour les investissements généraux</w:t>
            </w:r>
            <w:r w:rsidR="005C0B8D">
              <w:rPr>
                <w:noProof/>
                <w:webHidden/>
              </w:rPr>
              <w:tab/>
            </w:r>
            <w:r w:rsidR="005C0B8D">
              <w:rPr>
                <w:noProof/>
                <w:webHidden/>
              </w:rPr>
              <w:fldChar w:fldCharType="begin"/>
            </w:r>
            <w:r w:rsidR="005C0B8D">
              <w:rPr>
                <w:noProof/>
                <w:webHidden/>
              </w:rPr>
              <w:instrText xml:space="preserve"> PAGEREF _Toc481048804 \h </w:instrText>
            </w:r>
            <w:r w:rsidR="005C0B8D">
              <w:rPr>
                <w:noProof/>
                <w:webHidden/>
              </w:rPr>
            </w:r>
            <w:r w:rsidR="005C0B8D">
              <w:rPr>
                <w:noProof/>
                <w:webHidden/>
              </w:rPr>
              <w:fldChar w:fldCharType="separate"/>
            </w:r>
            <w:r w:rsidR="001516DF">
              <w:rPr>
                <w:noProof/>
                <w:webHidden/>
              </w:rPr>
              <w:t>14</w:t>
            </w:r>
            <w:r w:rsidR="005C0B8D">
              <w:rPr>
                <w:noProof/>
                <w:webHidden/>
              </w:rPr>
              <w:fldChar w:fldCharType="end"/>
            </w:r>
          </w:hyperlink>
        </w:p>
        <w:p w14:paraId="4BB813BD" w14:textId="77777777" w:rsidR="005C0B8D" w:rsidRDefault="00A614DE">
          <w:pPr>
            <w:pStyle w:val="TM2"/>
            <w:tabs>
              <w:tab w:val="left" w:pos="880"/>
              <w:tab w:val="right" w:leader="dot" w:pos="9060"/>
            </w:tabs>
            <w:rPr>
              <w:noProof/>
            </w:rPr>
          </w:pPr>
          <w:hyperlink w:anchor="_Toc481048805" w:history="1">
            <w:r w:rsidR="005C0B8D" w:rsidRPr="0005686A">
              <w:rPr>
                <w:rStyle w:val="Lienhypertexte"/>
                <w:noProof/>
              </w:rPr>
              <w:t>4.3</w:t>
            </w:r>
            <w:r w:rsidR="005C0B8D">
              <w:rPr>
                <w:noProof/>
              </w:rPr>
              <w:tab/>
            </w:r>
            <w:r w:rsidR="005C0B8D" w:rsidRPr="0005686A">
              <w:rPr>
                <w:rStyle w:val="Lienhypertexte"/>
                <w:noProof/>
              </w:rPr>
              <w:t>Les aides pour les investissements spécifiques</w:t>
            </w:r>
            <w:r w:rsidR="005C0B8D">
              <w:rPr>
                <w:noProof/>
                <w:webHidden/>
              </w:rPr>
              <w:tab/>
            </w:r>
            <w:r w:rsidR="005C0B8D">
              <w:rPr>
                <w:noProof/>
                <w:webHidden/>
              </w:rPr>
              <w:fldChar w:fldCharType="begin"/>
            </w:r>
            <w:r w:rsidR="005C0B8D">
              <w:rPr>
                <w:noProof/>
                <w:webHidden/>
              </w:rPr>
              <w:instrText xml:space="preserve"> PAGEREF _Toc481048805 \h </w:instrText>
            </w:r>
            <w:r w:rsidR="005C0B8D">
              <w:rPr>
                <w:noProof/>
                <w:webHidden/>
              </w:rPr>
            </w:r>
            <w:r w:rsidR="005C0B8D">
              <w:rPr>
                <w:noProof/>
                <w:webHidden/>
              </w:rPr>
              <w:fldChar w:fldCharType="separate"/>
            </w:r>
            <w:r w:rsidR="001516DF">
              <w:rPr>
                <w:noProof/>
                <w:webHidden/>
              </w:rPr>
              <w:t>18</w:t>
            </w:r>
            <w:r w:rsidR="005C0B8D">
              <w:rPr>
                <w:noProof/>
                <w:webHidden/>
              </w:rPr>
              <w:fldChar w:fldCharType="end"/>
            </w:r>
          </w:hyperlink>
        </w:p>
        <w:p w14:paraId="6FDA179E"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6" w:history="1">
            <w:r w:rsidR="005C0B8D" w:rsidRPr="0005686A">
              <w:rPr>
                <w:rStyle w:val="Lienhypertexte"/>
                <w:noProof/>
              </w:rPr>
              <w:t>5</w:t>
            </w:r>
            <w:r w:rsidR="005C0B8D">
              <w:rPr>
                <w:rFonts w:asciiTheme="minorHAnsi" w:eastAsiaTheme="minorEastAsia" w:hAnsiTheme="minorHAnsi"/>
                <w:noProof/>
                <w:sz w:val="22"/>
                <w:lang w:eastAsia="fr-BE"/>
              </w:rPr>
              <w:tab/>
            </w:r>
            <w:r w:rsidR="005C0B8D" w:rsidRPr="0005686A">
              <w:rPr>
                <w:rStyle w:val="Lienhypertexte"/>
                <w:noProof/>
              </w:rPr>
              <w:t>Ordonnance du 13/01/1994 concernant la promotion du commerce extérieur</w:t>
            </w:r>
            <w:r w:rsidR="005C0B8D">
              <w:rPr>
                <w:noProof/>
                <w:webHidden/>
              </w:rPr>
              <w:tab/>
            </w:r>
            <w:r w:rsidR="005C0B8D">
              <w:rPr>
                <w:noProof/>
                <w:webHidden/>
              </w:rPr>
              <w:fldChar w:fldCharType="begin"/>
            </w:r>
            <w:r w:rsidR="005C0B8D">
              <w:rPr>
                <w:noProof/>
                <w:webHidden/>
              </w:rPr>
              <w:instrText xml:space="preserve"> PAGEREF _Toc481048806 \h </w:instrText>
            </w:r>
            <w:r w:rsidR="005C0B8D">
              <w:rPr>
                <w:noProof/>
                <w:webHidden/>
              </w:rPr>
            </w:r>
            <w:r w:rsidR="005C0B8D">
              <w:rPr>
                <w:noProof/>
                <w:webHidden/>
              </w:rPr>
              <w:fldChar w:fldCharType="separate"/>
            </w:r>
            <w:r w:rsidR="001516DF">
              <w:rPr>
                <w:noProof/>
                <w:webHidden/>
              </w:rPr>
              <w:t>21</w:t>
            </w:r>
            <w:r w:rsidR="005C0B8D">
              <w:rPr>
                <w:noProof/>
                <w:webHidden/>
              </w:rPr>
              <w:fldChar w:fldCharType="end"/>
            </w:r>
          </w:hyperlink>
        </w:p>
        <w:p w14:paraId="1CC90010"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7" w:history="1">
            <w:r w:rsidR="005C0B8D" w:rsidRPr="0005686A">
              <w:rPr>
                <w:rStyle w:val="Lienhypertexte"/>
                <w:noProof/>
              </w:rPr>
              <w:t>6</w:t>
            </w:r>
            <w:r w:rsidR="005C0B8D">
              <w:rPr>
                <w:rFonts w:asciiTheme="minorHAnsi" w:eastAsiaTheme="minorEastAsia" w:hAnsiTheme="minorHAnsi"/>
                <w:noProof/>
                <w:sz w:val="22"/>
                <w:lang w:eastAsia="fr-BE"/>
              </w:rPr>
              <w:tab/>
            </w:r>
            <w:r w:rsidR="005C0B8D" w:rsidRPr="0005686A">
              <w:rPr>
                <w:rStyle w:val="Lienhypertexte"/>
                <w:noProof/>
              </w:rPr>
              <w:t>Loi du 03/12/2005 instaurant une indémnité compensatoire de pertes de revenus en faveur des travailleurs indépendants</w:t>
            </w:r>
            <w:r w:rsidR="005C0B8D">
              <w:rPr>
                <w:noProof/>
                <w:webHidden/>
              </w:rPr>
              <w:tab/>
            </w:r>
            <w:r w:rsidR="005C0B8D">
              <w:rPr>
                <w:noProof/>
                <w:webHidden/>
              </w:rPr>
              <w:fldChar w:fldCharType="begin"/>
            </w:r>
            <w:r w:rsidR="005C0B8D">
              <w:rPr>
                <w:noProof/>
                <w:webHidden/>
              </w:rPr>
              <w:instrText xml:space="preserve"> PAGEREF _Toc481048807 \h </w:instrText>
            </w:r>
            <w:r w:rsidR="005C0B8D">
              <w:rPr>
                <w:noProof/>
                <w:webHidden/>
              </w:rPr>
            </w:r>
            <w:r w:rsidR="005C0B8D">
              <w:rPr>
                <w:noProof/>
                <w:webHidden/>
              </w:rPr>
              <w:fldChar w:fldCharType="separate"/>
            </w:r>
            <w:r w:rsidR="001516DF">
              <w:rPr>
                <w:noProof/>
                <w:webHidden/>
              </w:rPr>
              <w:t>24</w:t>
            </w:r>
            <w:r w:rsidR="005C0B8D">
              <w:rPr>
                <w:noProof/>
                <w:webHidden/>
              </w:rPr>
              <w:fldChar w:fldCharType="end"/>
            </w:r>
          </w:hyperlink>
        </w:p>
        <w:p w14:paraId="66141C6F"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8" w:history="1">
            <w:r w:rsidR="005C0B8D" w:rsidRPr="0005686A">
              <w:rPr>
                <w:rStyle w:val="Lienhypertexte"/>
                <w:noProof/>
              </w:rPr>
              <w:t>7</w:t>
            </w:r>
            <w:r w:rsidR="005C0B8D">
              <w:rPr>
                <w:rFonts w:asciiTheme="minorHAnsi" w:eastAsiaTheme="minorEastAsia" w:hAnsiTheme="minorHAnsi"/>
                <w:noProof/>
                <w:sz w:val="22"/>
                <w:lang w:eastAsia="fr-BE"/>
              </w:rPr>
              <w:tab/>
            </w:r>
            <w:r w:rsidR="005C0B8D" w:rsidRPr="0005686A">
              <w:rPr>
                <w:rStyle w:val="Lienhypertexte"/>
                <w:noProof/>
              </w:rPr>
              <w:t>Conclusion</w:t>
            </w:r>
            <w:r w:rsidR="005C0B8D">
              <w:rPr>
                <w:noProof/>
                <w:webHidden/>
              </w:rPr>
              <w:tab/>
            </w:r>
            <w:r w:rsidR="005C0B8D">
              <w:rPr>
                <w:noProof/>
                <w:webHidden/>
              </w:rPr>
              <w:fldChar w:fldCharType="begin"/>
            </w:r>
            <w:r w:rsidR="005C0B8D">
              <w:rPr>
                <w:noProof/>
                <w:webHidden/>
              </w:rPr>
              <w:instrText xml:space="preserve"> PAGEREF _Toc481048808 \h </w:instrText>
            </w:r>
            <w:r w:rsidR="005C0B8D">
              <w:rPr>
                <w:noProof/>
                <w:webHidden/>
              </w:rPr>
            </w:r>
            <w:r w:rsidR="005C0B8D">
              <w:rPr>
                <w:noProof/>
                <w:webHidden/>
              </w:rPr>
              <w:fldChar w:fldCharType="separate"/>
            </w:r>
            <w:r w:rsidR="001516DF">
              <w:rPr>
                <w:noProof/>
                <w:webHidden/>
              </w:rPr>
              <w:t>25</w:t>
            </w:r>
            <w:r w:rsidR="005C0B8D">
              <w:rPr>
                <w:noProof/>
                <w:webHidden/>
              </w:rPr>
              <w:fldChar w:fldCharType="end"/>
            </w:r>
          </w:hyperlink>
        </w:p>
        <w:p w14:paraId="2C93B820" w14:textId="77777777" w:rsidR="005C0B8D" w:rsidRDefault="00A614DE">
          <w:pPr>
            <w:pStyle w:val="TM1"/>
            <w:tabs>
              <w:tab w:val="left" w:pos="440"/>
              <w:tab w:val="right" w:leader="dot" w:pos="9060"/>
            </w:tabs>
            <w:rPr>
              <w:rFonts w:asciiTheme="minorHAnsi" w:eastAsiaTheme="minorEastAsia" w:hAnsiTheme="minorHAnsi"/>
              <w:noProof/>
              <w:sz w:val="22"/>
              <w:lang w:eastAsia="fr-BE"/>
            </w:rPr>
          </w:pPr>
          <w:hyperlink w:anchor="_Toc481048809" w:history="1">
            <w:r w:rsidR="005C0B8D" w:rsidRPr="0005686A">
              <w:rPr>
                <w:rStyle w:val="Lienhypertexte"/>
                <w:noProof/>
              </w:rPr>
              <w:t>8</w:t>
            </w:r>
            <w:r w:rsidR="005C0B8D">
              <w:rPr>
                <w:rFonts w:asciiTheme="minorHAnsi" w:eastAsiaTheme="minorEastAsia" w:hAnsiTheme="minorHAnsi"/>
                <w:noProof/>
                <w:sz w:val="22"/>
                <w:lang w:eastAsia="fr-BE"/>
              </w:rPr>
              <w:tab/>
            </w:r>
            <w:r w:rsidR="005C0B8D" w:rsidRPr="0005686A">
              <w:rPr>
                <w:rStyle w:val="Lienhypertexte"/>
                <w:noProof/>
              </w:rPr>
              <w:t>Annexe : taille des entreprises et codes NACE BEL</w:t>
            </w:r>
            <w:r w:rsidR="005C0B8D">
              <w:rPr>
                <w:noProof/>
                <w:webHidden/>
              </w:rPr>
              <w:tab/>
            </w:r>
            <w:r w:rsidR="005C0B8D">
              <w:rPr>
                <w:noProof/>
                <w:webHidden/>
              </w:rPr>
              <w:fldChar w:fldCharType="begin"/>
            </w:r>
            <w:r w:rsidR="005C0B8D">
              <w:rPr>
                <w:noProof/>
                <w:webHidden/>
              </w:rPr>
              <w:instrText xml:space="preserve"> PAGEREF _Toc481048809 \h </w:instrText>
            </w:r>
            <w:r w:rsidR="005C0B8D">
              <w:rPr>
                <w:noProof/>
                <w:webHidden/>
              </w:rPr>
            </w:r>
            <w:r w:rsidR="005C0B8D">
              <w:rPr>
                <w:noProof/>
                <w:webHidden/>
              </w:rPr>
              <w:fldChar w:fldCharType="separate"/>
            </w:r>
            <w:r w:rsidR="001516DF">
              <w:rPr>
                <w:noProof/>
                <w:webHidden/>
              </w:rPr>
              <w:t>26</w:t>
            </w:r>
            <w:r w:rsidR="005C0B8D">
              <w:rPr>
                <w:noProof/>
                <w:webHidden/>
              </w:rPr>
              <w:fldChar w:fldCharType="end"/>
            </w:r>
          </w:hyperlink>
        </w:p>
        <w:p w14:paraId="3A0B6962" w14:textId="77777777" w:rsidR="00107150" w:rsidRDefault="00107150">
          <w:r>
            <w:rPr>
              <w:b/>
              <w:bCs/>
              <w:lang w:val="fr-FR"/>
            </w:rPr>
            <w:fldChar w:fldCharType="end"/>
          </w:r>
        </w:p>
      </w:sdtContent>
    </w:sdt>
    <w:p w14:paraId="62D6B28F" w14:textId="77777777" w:rsidR="00D937AC" w:rsidRDefault="00D937AC">
      <w:pPr>
        <w:jc w:val="left"/>
      </w:pPr>
    </w:p>
    <w:p w14:paraId="618D0F9C" w14:textId="77777777" w:rsidR="00D937AC" w:rsidRDefault="00D937AC">
      <w:pPr>
        <w:jc w:val="left"/>
      </w:pPr>
    </w:p>
    <w:p w14:paraId="7B9CB094" w14:textId="77777777" w:rsidR="00D937AC" w:rsidRDefault="00D937AC">
      <w:pPr>
        <w:jc w:val="left"/>
      </w:pPr>
    </w:p>
    <w:p w14:paraId="452F26F6" w14:textId="77777777" w:rsidR="00D937AC" w:rsidRDefault="00D937AC">
      <w:pPr>
        <w:jc w:val="left"/>
      </w:pPr>
    </w:p>
    <w:p w14:paraId="3CF67552" w14:textId="77777777" w:rsidR="00D937AC" w:rsidRDefault="00D937AC">
      <w:pPr>
        <w:jc w:val="left"/>
      </w:pPr>
    </w:p>
    <w:p w14:paraId="55FFAF58" w14:textId="77777777" w:rsidR="00D937AC" w:rsidRDefault="00D937AC">
      <w:pPr>
        <w:jc w:val="left"/>
      </w:pPr>
    </w:p>
    <w:p w14:paraId="4CF693AB" w14:textId="77777777" w:rsidR="00D937AC" w:rsidRDefault="00D937AC">
      <w:pPr>
        <w:jc w:val="left"/>
      </w:pPr>
    </w:p>
    <w:p w14:paraId="2A8BD2A7" w14:textId="77777777" w:rsidR="00D937AC" w:rsidRDefault="00D937AC">
      <w:pPr>
        <w:jc w:val="left"/>
      </w:pPr>
    </w:p>
    <w:p w14:paraId="511D07BD" w14:textId="77777777" w:rsidR="00D937AC" w:rsidRDefault="00D937AC">
      <w:pPr>
        <w:jc w:val="left"/>
      </w:pPr>
    </w:p>
    <w:p w14:paraId="61BECAE7" w14:textId="77777777" w:rsidR="00D937AC" w:rsidRDefault="00D937AC">
      <w:pPr>
        <w:jc w:val="left"/>
      </w:pPr>
    </w:p>
    <w:p w14:paraId="6F7AF9AD" w14:textId="77777777" w:rsidR="00D937AC" w:rsidRPr="00D937AC" w:rsidRDefault="00D937AC">
      <w:pPr>
        <w:jc w:val="left"/>
        <w:rPr>
          <w:b/>
        </w:rPr>
      </w:pPr>
      <w:r w:rsidRPr="00D937AC">
        <w:rPr>
          <w:b/>
        </w:rPr>
        <w:t>Informations :</w:t>
      </w:r>
    </w:p>
    <w:p w14:paraId="5BC9420E" w14:textId="77777777" w:rsidR="00D937AC" w:rsidRDefault="00D937AC">
      <w:pPr>
        <w:jc w:val="left"/>
      </w:pPr>
      <w:r>
        <w:t>Tel. : 02 800 34 86</w:t>
      </w:r>
    </w:p>
    <w:p w14:paraId="52F7F59E" w14:textId="77777777" w:rsidR="00D937AC" w:rsidRDefault="00A614DE">
      <w:pPr>
        <w:jc w:val="left"/>
      </w:pPr>
      <w:hyperlink r:id="rId8" w:history="1">
        <w:r w:rsidR="00D937AC" w:rsidRPr="00C92C66">
          <w:rPr>
            <w:rStyle w:val="Lienhypertexte"/>
          </w:rPr>
          <w:t>criviere@sprb.brussels</w:t>
        </w:r>
      </w:hyperlink>
      <w:r w:rsidR="00D937AC">
        <w:t xml:space="preserve"> </w:t>
      </w:r>
    </w:p>
    <w:p w14:paraId="0D9682C5" w14:textId="77777777" w:rsidR="00091D48" w:rsidRDefault="00091D48">
      <w:pPr>
        <w:jc w:val="left"/>
        <w:rPr>
          <w:rFonts w:eastAsiaTheme="majorEastAsia" w:cstheme="majorBidi"/>
          <w:b/>
          <w:bCs/>
          <w:color w:val="0A00BE"/>
          <w:sz w:val="28"/>
          <w:szCs w:val="28"/>
        </w:rPr>
      </w:pPr>
      <w:r>
        <w:br w:type="page"/>
      </w:r>
    </w:p>
    <w:p w14:paraId="62238745" w14:textId="77777777" w:rsidR="00F60368" w:rsidRDefault="00091D48" w:rsidP="00091D48">
      <w:pPr>
        <w:pStyle w:val="Titre1"/>
      </w:pPr>
      <w:bookmarkStart w:id="6" w:name="_Toc481048797"/>
      <w:r w:rsidRPr="00091D48">
        <w:lastRenderedPageBreak/>
        <w:t>Introduction</w:t>
      </w:r>
      <w:bookmarkEnd w:id="6"/>
    </w:p>
    <w:p w14:paraId="08095BC1" w14:textId="77777777" w:rsidR="007B2574" w:rsidRDefault="00C07D9E" w:rsidP="007B2574">
      <w:r>
        <w:t>Ce document contient plusieurs volets dont :</w:t>
      </w:r>
    </w:p>
    <w:p w14:paraId="6A11ADFD" w14:textId="77777777" w:rsidR="00C07D9E" w:rsidRDefault="00C07D9E" w:rsidP="00C07D9E">
      <w:pPr>
        <w:pStyle w:val="Paragraphedeliste"/>
        <w:numPr>
          <w:ilvl w:val="0"/>
          <w:numId w:val="4"/>
        </w:numPr>
      </w:pPr>
      <w:r>
        <w:t>Une présentation de la Direction des Aides aux Entreprises (DAE) ;</w:t>
      </w:r>
    </w:p>
    <w:p w14:paraId="434CA990" w14:textId="77777777" w:rsidR="00C07D9E" w:rsidRDefault="00C07D9E" w:rsidP="00C07D9E">
      <w:pPr>
        <w:pStyle w:val="Paragraphedeliste"/>
        <w:numPr>
          <w:ilvl w:val="0"/>
          <w:numId w:val="4"/>
        </w:numPr>
      </w:pPr>
      <w:r>
        <w:t>Une vue d’ensemble des dossiers gérés au sein de la DAE ;</w:t>
      </w:r>
    </w:p>
    <w:p w14:paraId="6F11CD4E" w14:textId="77777777" w:rsidR="00C07D9E" w:rsidRDefault="00C07D9E" w:rsidP="00C07D9E">
      <w:pPr>
        <w:pStyle w:val="Paragraphedeliste"/>
        <w:numPr>
          <w:ilvl w:val="0"/>
          <w:numId w:val="4"/>
        </w:numPr>
      </w:pPr>
      <w:r>
        <w:t>Un rapport détaillé des aides demandées en fonction des matières traitées ;</w:t>
      </w:r>
    </w:p>
    <w:p w14:paraId="18FE1AEE" w14:textId="77777777" w:rsidR="00C07D9E" w:rsidRDefault="00C07D9E" w:rsidP="00C07D9E">
      <w:pPr>
        <w:pStyle w:val="Paragraphedeliste"/>
        <w:numPr>
          <w:ilvl w:val="0"/>
          <w:numId w:val="4"/>
        </w:numPr>
      </w:pPr>
      <w:r>
        <w:t>Une conclusion générale.</w:t>
      </w:r>
    </w:p>
    <w:p w14:paraId="675BDE05" w14:textId="77777777" w:rsidR="00C07D9E" w:rsidRPr="007B2574" w:rsidRDefault="00C07D9E" w:rsidP="00C07D9E">
      <w:r>
        <w:t>En fin de document se trouvent des annexes proposant des définitions pour une meilleure lecture du document.</w:t>
      </w:r>
    </w:p>
    <w:p w14:paraId="4A61638C" w14:textId="77777777" w:rsidR="00107150" w:rsidRDefault="00107150">
      <w:pPr>
        <w:jc w:val="left"/>
      </w:pPr>
      <w:r>
        <w:br w:type="page"/>
      </w:r>
    </w:p>
    <w:p w14:paraId="1534C3C2" w14:textId="77777777" w:rsidR="00107150" w:rsidRDefault="00107150" w:rsidP="00107150">
      <w:pPr>
        <w:pStyle w:val="Titre1"/>
      </w:pPr>
      <w:bookmarkStart w:id="7" w:name="_Toc481048798"/>
      <w:r>
        <w:lastRenderedPageBreak/>
        <w:t>Présentation de la direction</w:t>
      </w:r>
      <w:bookmarkEnd w:id="7"/>
    </w:p>
    <w:p w14:paraId="2446B169" w14:textId="77777777" w:rsidR="007B2574" w:rsidRDefault="007B2574" w:rsidP="007B2574">
      <w:pPr>
        <w:pStyle w:val="Titre2"/>
      </w:pPr>
      <w:bookmarkStart w:id="8" w:name="_Toc481048799"/>
      <w:r>
        <w:t>Effectifs (au 31/12/20</w:t>
      </w:r>
      <w:r w:rsidR="00710729">
        <w:t>17</w:t>
      </w:r>
      <w:r>
        <w:t>)</w:t>
      </w:r>
      <w:bookmarkEnd w:id="8"/>
    </w:p>
    <w:p w14:paraId="4710CB02" w14:textId="77777777" w:rsidR="009B26F0" w:rsidRDefault="009B26F0" w:rsidP="009B26F0">
      <w:r>
        <w:t>4 fonctions sont représentées au sein de la DAE :</w:t>
      </w:r>
    </w:p>
    <w:p w14:paraId="6A48D89A" w14:textId="77777777" w:rsidR="009B26F0" w:rsidRDefault="009B26F0" w:rsidP="009B26F0">
      <w:pPr>
        <w:pStyle w:val="Paragraphedeliste"/>
        <w:numPr>
          <w:ilvl w:val="0"/>
          <w:numId w:val="3"/>
        </w:numPr>
      </w:pPr>
      <w:r>
        <w:t>Responsable du service</w:t>
      </w:r>
    </w:p>
    <w:p w14:paraId="07AA73BA" w14:textId="77777777" w:rsidR="009B26F0" w:rsidRDefault="009B26F0" w:rsidP="009B26F0">
      <w:pPr>
        <w:pStyle w:val="Paragraphedeliste"/>
        <w:numPr>
          <w:ilvl w:val="0"/>
          <w:numId w:val="3"/>
        </w:numPr>
      </w:pPr>
      <w:r>
        <w:t>Coordinateurs :</w:t>
      </w:r>
      <w:r w:rsidR="00FD22A6">
        <w:t xml:space="preserve"> répartissent les dossiers entre les gestionnaires, valident les propositions de décision et optimisent les processus de travail.</w:t>
      </w:r>
    </w:p>
    <w:p w14:paraId="312649A3" w14:textId="77777777" w:rsidR="009B26F0" w:rsidRDefault="009B26F0" w:rsidP="009B26F0">
      <w:pPr>
        <w:pStyle w:val="Paragraphedeliste"/>
        <w:numPr>
          <w:ilvl w:val="0"/>
          <w:numId w:val="3"/>
        </w:numPr>
      </w:pPr>
      <w:r>
        <w:t>Gestionnaires de dossiers :</w:t>
      </w:r>
      <w:r w:rsidR="00FD22A6">
        <w:t xml:space="preserve"> examinent les demandes et proposent des décisions dans le respect des différentes règlementations.</w:t>
      </w:r>
    </w:p>
    <w:p w14:paraId="24E3CC5B" w14:textId="77777777" w:rsidR="009B26F0" w:rsidRPr="009B26F0" w:rsidRDefault="009B26F0" w:rsidP="00FD22A6">
      <w:pPr>
        <w:pStyle w:val="Paragraphedeliste"/>
        <w:numPr>
          <w:ilvl w:val="0"/>
          <w:numId w:val="3"/>
        </w:numPr>
      </w:pPr>
      <w:r>
        <w:t>Supports :</w:t>
      </w:r>
      <w:r w:rsidR="00FD22A6">
        <w:t xml:space="preserve"> assurent le secrétariat du service (introduction des dossiers dans le système informatique, gestion du courrier, économat…).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1962"/>
        <w:gridCol w:w="2397"/>
      </w:tblGrid>
      <w:tr w:rsidR="001B3D92" w:rsidRPr="004C3AF1" w14:paraId="2F3731AB" w14:textId="77777777" w:rsidTr="004C3AF1">
        <w:tc>
          <w:tcPr>
            <w:tcW w:w="4786" w:type="dxa"/>
          </w:tcPr>
          <w:p w14:paraId="5223863D" w14:textId="77777777" w:rsidR="001B3D92" w:rsidRPr="004C3AF1" w:rsidRDefault="001B3D92" w:rsidP="001B3D92">
            <w:pPr>
              <w:jc w:val="center"/>
              <w:rPr>
                <w:b/>
              </w:rPr>
            </w:pPr>
          </w:p>
        </w:tc>
        <w:tc>
          <w:tcPr>
            <w:tcW w:w="1985" w:type="dxa"/>
          </w:tcPr>
          <w:p w14:paraId="37E1C16E" w14:textId="77777777" w:rsidR="001B3D92" w:rsidRDefault="001B3D92" w:rsidP="001B3D92">
            <w:pPr>
              <w:jc w:val="center"/>
              <w:rPr>
                <w:b/>
              </w:rPr>
            </w:pPr>
            <w:r w:rsidRPr="004C3AF1">
              <w:rPr>
                <w:b/>
              </w:rPr>
              <w:t xml:space="preserve">Valeur </w:t>
            </w:r>
            <w:r w:rsidRPr="004C3AF1">
              <w:rPr>
                <w:b/>
              </w:rPr>
              <w:br/>
              <w:t>absolue</w:t>
            </w:r>
          </w:p>
          <w:p w14:paraId="6AC668AF" w14:textId="77777777" w:rsidR="009B26F0" w:rsidRPr="004C3AF1" w:rsidRDefault="009B26F0" w:rsidP="001B3D92">
            <w:pPr>
              <w:jc w:val="center"/>
              <w:rPr>
                <w:b/>
              </w:rPr>
            </w:pPr>
          </w:p>
        </w:tc>
        <w:tc>
          <w:tcPr>
            <w:tcW w:w="2439" w:type="dxa"/>
          </w:tcPr>
          <w:p w14:paraId="58AAE59A" w14:textId="77777777" w:rsidR="001B3D92" w:rsidRPr="004C3AF1" w:rsidRDefault="001B3D92" w:rsidP="001B3D92">
            <w:pPr>
              <w:jc w:val="center"/>
              <w:rPr>
                <w:b/>
              </w:rPr>
            </w:pPr>
            <w:r w:rsidRPr="004C3AF1">
              <w:rPr>
                <w:b/>
              </w:rPr>
              <w:t>ETP</w:t>
            </w:r>
          </w:p>
        </w:tc>
      </w:tr>
      <w:tr w:rsidR="001B3D92" w14:paraId="75AE30A6" w14:textId="77777777" w:rsidTr="004C3AF1">
        <w:tc>
          <w:tcPr>
            <w:tcW w:w="4786" w:type="dxa"/>
          </w:tcPr>
          <w:p w14:paraId="73793619" w14:textId="77777777" w:rsidR="001B3D92" w:rsidRDefault="001B3D92" w:rsidP="001B3D92">
            <w:r>
              <w:t>Responsable du service</w:t>
            </w:r>
          </w:p>
        </w:tc>
        <w:tc>
          <w:tcPr>
            <w:tcW w:w="1985" w:type="dxa"/>
          </w:tcPr>
          <w:p w14:paraId="0C1D5A24" w14:textId="77777777" w:rsidR="001B3D92" w:rsidRDefault="001B3D92" w:rsidP="004C3AF1">
            <w:pPr>
              <w:jc w:val="center"/>
            </w:pPr>
            <w:r>
              <w:t>1</w:t>
            </w:r>
          </w:p>
        </w:tc>
        <w:tc>
          <w:tcPr>
            <w:tcW w:w="2439" w:type="dxa"/>
          </w:tcPr>
          <w:p w14:paraId="5D17D0B2" w14:textId="77777777" w:rsidR="001B3D92" w:rsidRDefault="001B3D92" w:rsidP="004C3AF1">
            <w:pPr>
              <w:jc w:val="center"/>
            </w:pPr>
            <w:r>
              <w:t>1</w:t>
            </w:r>
          </w:p>
        </w:tc>
      </w:tr>
      <w:tr w:rsidR="001B3D92" w14:paraId="5EAE9AAF" w14:textId="77777777" w:rsidTr="004C3AF1">
        <w:tc>
          <w:tcPr>
            <w:tcW w:w="4786" w:type="dxa"/>
          </w:tcPr>
          <w:p w14:paraId="368D5767" w14:textId="77777777" w:rsidR="001B3D92" w:rsidRDefault="001B3D92" w:rsidP="001B3D92">
            <w:r>
              <w:t>Coordin</w:t>
            </w:r>
            <w:r w:rsidR="004C3AF1">
              <w:t>ateurs</w:t>
            </w:r>
          </w:p>
        </w:tc>
        <w:tc>
          <w:tcPr>
            <w:tcW w:w="1985" w:type="dxa"/>
          </w:tcPr>
          <w:p w14:paraId="675ED113" w14:textId="77777777" w:rsidR="001B3D92" w:rsidRDefault="004C3AF1" w:rsidP="004C3AF1">
            <w:pPr>
              <w:jc w:val="center"/>
            </w:pPr>
            <w:r>
              <w:t>6</w:t>
            </w:r>
          </w:p>
        </w:tc>
        <w:tc>
          <w:tcPr>
            <w:tcW w:w="2439" w:type="dxa"/>
          </w:tcPr>
          <w:p w14:paraId="3B87AAC2" w14:textId="77777777" w:rsidR="001B3D92" w:rsidRDefault="00710729" w:rsidP="004C3AF1">
            <w:pPr>
              <w:jc w:val="center"/>
            </w:pPr>
            <w:r>
              <w:t>5,8</w:t>
            </w:r>
          </w:p>
        </w:tc>
      </w:tr>
      <w:tr w:rsidR="001B3D92" w14:paraId="7719AB18" w14:textId="77777777" w:rsidTr="004C3AF1">
        <w:tc>
          <w:tcPr>
            <w:tcW w:w="4786" w:type="dxa"/>
          </w:tcPr>
          <w:p w14:paraId="6B710CFB" w14:textId="77777777" w:rsidR="001B3D92" w:rsidRDefault="004C3AF1" w:rsidP="001B3D92">
            <w:r>
              <w:t>Gestionnaires de dossiers</w:t>
            </w:r>
          </w:p>
        </w:tc>
        <w:tc>
          <w:tcPr>
            <w:tcW w:w="1985" w:type="dxa"/>
          </w:tcPr>
          <w:p w14:paraId="6B0BD81E" w14:textId="77777777" w:rsidR="001B3D92" w:rsidRDefault="00E02CC3" w:rsidP="004C3AF1">
            <w:pPr>
              <w:jc w:val="center"/>
            </w:pPr>
            <w:r>
              <w:t>16</w:t>
            </w:r>
          </w:p>
        </w:tc>
        <w:tc>
          <w:tcPr>
            <w:tcW w:w="2439" w:type="dxa"/>
          </w:tcPr>
          <w:p w14:paraId="406ED622" w14:textId="77777777" w:rsidR="001B3D92" w:rsidRDefault="00E02CC3" w:rsidP="004C3AF1">
            <w:pPr>
              <w:jc w:val="center"/>
            </w:pPr>
            <w:r>
              <w:t>14,9</w:t>
            </w:r>
          </w:p>
        </w:tc>
      </w:tr>
      <w:tr w:rsidR="001B3D92" w14:paraId="7B4AA8E0" w14:textId="77777777" w:rsidTr="004C3AF1">
        <w:tc>
          <w:tcPr>
            <w:tcW w:w="4786" w:type="dxa"/>
          </w:tcPr>
          <w:p w14:paraId="2EC5A245" w14:textId="77777777" w:rsidR="001B3D92" w:rsidRDefault="004C3AF1" w:rsidP="001B3D92">
            <w:r>
              <w:t>Supports</w:t>
            </w:r>
          </w:p>
        </w:tc>
        <w:tc>
          <w:tcPr>
            <w:tcW w:w="1985" w:type="dxa"/>
          </w:tcPr>
          <w:p w14:paraId="6EEEEFEE" w14:textId="77777777" w:rsidR="001B3D92" w:rsidRDefault="00E02CC3" w:rsidP="004C3AF1">
            <w:pPr>
              <w:jc w:val="center"/>
            </w:pPr>
            <w:r>
              <w:t>3</w:t>
            </w:r>
          </w:p>
          <w:p w14:paraId="5F776682" w14:textId="77777777" w:rsidR="009B26F0" w:rsidRDefault="009B26F0" w:rsidP="004C3AF1">
            <w:pPr>
              <w:jc w:val="center"/>
            </w:pPr>
          </w:p>
        </w:tc>
        <w:tc>
          <w:tcPr>
            <w:tcW w:w="2439" w:type="dxa"/>
          </w:tcPr>
          <w:p w14:paraId="02A47C8C" w14:textId="77777777" w:rsidR="001B3D92" w:rsidRDefault="00E02CC3" w:rsidP="004C3AF1">
            <w:pPr>
              <w:jc w:val="center"/>
            </w:pPr>
            <w:r>
              <w:t>2</w:t>
            </w:r>
            <w:r w:rsidR="004C3AF1">
              <w:t>,8</w:t>
            </w:r>
          </w:p>
        </w:tc>
      </w:tr>
      <w:tr w:rsidR="001B3D92" w:rsidRPr="004C3AF1" w14:paraId="151EE03D" w14:textId="77777777" w:rsidTr="004C3AF1">
        <w:tc>
          <w:tcPr>
            <w:tcW w:w="4786" w:type="dxa"/>
          </w:tcPr>
          <w:p w14:paraId="7A3D850C" w14:textId="77777777" w:rsidR="001B3D92" w:rsidRPr="004C3AF1" w:rsidRDefault="004C3AF1" w:rsidP="001B3D92">
            <w:pPr>
              <w:rPr>
                <w:b/>
              </w:rPr>
            </w:pPr>
            <w:r w:rsidRPr="004C3AF1">
              <w:rPr>
                <w:b/>
              </w:rPr>
              <w:t>Total</w:t>
            </w:r>
          </w:p>
        </w:tc>
        <w:tc>
          <w:tcPr>
            <w:tcW w:w="1985" w:type="dxa"/>
          </w:tcPr>
          <w:p w14:paraId="25260EE1" w14:textId="77777777" w:rsidR="001B3D92" w:rsidRPr="004C3AF1" w:rsidRDefault="00E02CC3" w:rsidP="004C3AF1">
            <w:pPr>
              <w:jc w:val="center"/>
              <w:rPr>
                <w:b/>
              </w:rPr>
            </w:pPr>
            <w:r>
              <w:rPr>
                <w:b/>
              </w:rPr>
              <w:t>26</w:t>
            </w:r>
          </w:p>
        </w:tc>
        <w:tc>
          <w:tcPr>
            <w:tcW w:w="2439" w:type="dxa"/>
          </w:tcPr>
          <w:p w14:paraId="40158868" w14:textId="77777777" w:rsidR="001B3D92" w:rsidRPr="004C3AF1" w:rsidRDefault="00E02CC3" w:rsidP="004C3AF1">
            <w:pPr>
              <w:jc w:val="center"/>
              <w:rPr>
                <w:b/>
              </w:rPr>
            </w:pPr>
            <w:r>
              <w:rPr>
                <w:b/>
              </w:rPr>
              <w:t>24,5</w:t>
            </w:r>
          </w:p>
        </w:tc>
      </w:tr>
    </w:tbl>
    <w:p w14:paraId="5C8D518F" w14:textId="77777777" w:rsidR="001B3D92" w:rsidRPr="001B3D92" w:rsidRDefault="001B3D92" w:rsidP="001B3D92"/>
    <w:p w14:paraId="347ECD24" w14:textId="77777777" w:rsidR="007B2574" w:rsidRDefault="007B2574" w:rsidP="007B2574">
      <w:pPr>
        <w:pStyle w:val="Titre2"/>
      </w:pPr>
      <w:bookmarkStart w:id="9" w:name="_Toc481048800"/>
      <w:r>
        <w:t>Organisation</w:t>
      </w:r>
      <w:bookmarkEnd w:id="9"/>
    </w:p>
    <w:p w14:paraId="7F90B105" w14:textId="77777777" w:rsidR="001B3D92" w:rsidRDefault="001B3D92" w:rsidP="001B3D92">
      <w:pPr>
        <w:rPr>
          <w:rFonts w:eastAsia="Arial Unicode MS" w:cs="Arial"/>
        </w:rPr>
      </w:pPr>
      <w:r>
        <w:rPr>
          <w:rFonts w:eastAsia="Arial Unicode MS" w:cs="Arial"/>
        </w:rPr>
        <w:t xml:space="preserve">Les aides aux entreprises sont organisées en fonction des </w:t>
      </w:r>
      <w:r w:rsidRPr="008F28FF">
        <w:rPr>
          <w:rFonts w:eastAsia="Arial Unicode MS" w:cs="Arial"/>
        </w:rPr>
        <w:t>matières</w:t>
      </w:r>
      <w:r w:rsidR="008F28FF">
        <w:rPr>
          <w:rFonts w:eastAsia="Arial Unicode MS" w:cs="Arial"/>
        </w:rPr>
        <w:t>.</w:t>
      </w:r>
    </w:p>
    <w:p w14:paraId="6CE40FF0"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w:t>
      </w:r>
      <w:r w:rsidRPr="009650C7">
        <w:rPr>
          <w:rFonts w:eastAsia="Arial Unicode MS" w:cs="Arial"/>
          <w:b/>
          <w:i/>
        </w:rPr>
        <w:t>soft</w:t>
      </w:r>
      <w:r>
        <w:rPr>
          <w:rFonts w:eastAsia="Arial Unicode MS" w:cs="Arial"/>
          <w:b/>
          <w:i/>
        </w:rPr>
        <w:t> »</w:t>
      </w:r>
      <w:r w:rsidRPr="009650C7">
        <w:rPr>
          <w:rFonts w:eastAsia="Arial Unicode MS" w:cs="Arial"/>
          <w:b/>
          <w:i/>
        </w:rPr>
        <w:t xml:space="preserve"> </w:t>
      </w:r>
      <w:r>
        <w:rPr>
          <w:rFonts w:eastAsia="Arial Unicode MS" w:cs="Arial"/>
        </w:rPr>
        <w:t xml:space="preserve">(2 coordinateurs) </w:t>
      </w:r>
      <w:r w:rsidR="008F28FF">
        <w:rPr>
          <w:rFonts w:eastAsia="Arial Unicode MS" w:cs="Arial"/>
        </w:rPr>
        <w:t>se base légalement sur</w:t>
      </w:r>
      <w:r>
        <w:rPr>
          <w:rFonts w:eastAsia="Arial Unicode MS" w:cs="Arial"/>
        </w:rPr>
        <w:t> :</w:t>
      </w:r>
    </w:p>
    <w:p w14:paraId="04446599" w14:textId="77777777" w:rsidR="001B3D92" w:rsidRPr="00B34EF1"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 xml:space="preserve"> promotion de l’expansion économique</w:t>
      </w:r>
      <w:r>
        <w:rPr>
          <w:rFonts w:eastAsia="Arial Unicode MS" w:cs="Arial"/>
        </w:rPr>
        <w:t> : les aides en matière de consultance, formation, recrutement et de soutien à l’accueil de la petite enfance.</w:t>
      </w:r>
    </w:p>
    <w:p w14:paraId="4EFA585A" w14:textId="77777777" w:rsidR="001B3D92" w:rsidRDefault="001B3D92" w:rsidP="001B3D92">
      <w:pPr>
        <w:numPr>
          <w:ilvl w:val="0"/>
          <w:numId w:val="2"/>
        </w:numPr>
        <w:rPr>
          <w:rFonts w:eastAsia="Arial Unicode MS" w:cs="Arial"/>
        </w:rPr>
      </w:pPr>
      <w:r>
        <w:rPr>
          <w:rFonts w:eastAsia="Arial Unicode MS" w:cs="Arial"/>
        </w:rPr>
        <w:t>Loi du 3 décembre 2005 instaurant une indemnité compensatoire de pertes de revenus en faveur des travailleurs indépendants.</w:t>
      </w:r>
    </w:p>
    <w:p w14:paraId="751C5041"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 </w:t>
      </w:r>
      <w:proofErr w:type="spellStart"/>
      <w:r w:rsidRPr="009650C7">
        <w:rPr>
          <w:rFonts w:eastAsia="Arial Unicode MS" w:cs="Arial"/>
          <w:b/>
          <w:i/>
        </w:rPr>
        <w:t>comext</w:t>
      </w:r>
      <w:proofErr w:type="spellEnd"/>
      <w:r w:rsidRPr="009650C7">
        <w:rPr>
          <w:rFonts w:eastAsia="Arial Unicode MS" w:cs="Arial"/>
          <w:b/>
          <w:i/>
        </w:rPr>
        <w:t> »</w:t>
      </w:r>
      <w:r>
        <w:rPr>
          <w:rFonts w:eastAsia="Arial Unicode MS" w:cs="Arial"/>
        </w:rPr>
        <w:t xml:space="preserve"> (2 coordinateurs) </w:t>
      </w:r>
      <w:r w:rsidR="008F28FF">
        <w:rPr>
          <w:rFonts w:eastAsia="Arial Unicode MS" w:cs="Arial"/>
        </w:rPr>
        <w:t>se base légalement sur </w:t>
      </w:r>
      <w:r>
        <w:rPr>
          <w:rFonts w:eastAsia="Arial Unicode MS" w:cs="Arial"/>
        </w:rPr>
        <w:t>:</w:t>
      </w:r>
    </w:p>
    <w:p w14:paraId="5A3FCC77" w14:textId="77777777" w:rsidR="001B3D92" w:rsidRDefault="001B3D92" w:rsidP="001B3D92">
      <w:pPr>
        <w:numPr>
          <w:ilvl w:val="0"/>
          <w:numId w:val="2"/>
        </w:numPr>
        <w:rPr>
          <w:rFonts w:eastAsia="Arial Unicode MS" w:cs="Arial"/>
        </w:rPr>
      </w:pPr>
      <w:r w:rsidRPr="00262071">
        <w:rPr>
          <w:rFonts w:eastAsia="Arial Unicode MS" w:cs="Arial"/>
        </w:rPr>
        <w:t>Ordonnance du 13 janvier 1994 concernant la promotion du commerce extérieur de la Région de Bruxelles-Capitale.</w:t>
      </w:r>
    </w:p>
    <w:p w14:paraId="5C93DF00"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généraux »</w:t>
      </w:r>
      <w:r w:rsidRPr="009650C7">
        <w:rPr>
          <w:rFonts w:eastAsia="Arial Unicode MS" w:cs="Arial"/>
          <w:b/>
          <w:i/>
        </w:rPr>
        <w:t xml:space="preserve"> </w:t>
      </w:r>
      <w:r>
        <w:rPr>
          <w:rFonts w:eastAsia="Arial Unicode MS" w:cs="Arial"/>
        </w:rPr>
        <w:t xml:space="preserve">(1 coordinateur) </w:t>
      </w:r>
      <w:r w:rsidR="008F28FF">
        <w:rPr>
          <w:rFonts w:eastAsia="Arial Unicode MS" w:cs="Arial"/>
        </w:rPr>
        <w:t>se base légalement sur </w:t>
      </w:r>
      <w:r>
        <w:rPr>
          <w:rFonts w:eastAsia="Arial Unicode MS" w:cs="Arial"/>
        </w:rPr>
        <w:t>:</w:t>
      </w:r>
    </w:p>
    <w:p w14:paraId="2FDEE0D0" w14:textId="77777777" w:rsidR="001B3D92" w:rsidRPr="00313FD9" w:rsidRDefault="001B3D92" w:rsidP="001B3D92">
      <w:pPr>
        <w:numPr>
          <w:ilvl w:val="0"/>
          <w:numId w:val="2"/>
        </w:numPr>
        <w:rPr>
          <w:rFonts w:eastAsia="Arial Unicode MS" w:cs="Arial"/>
          <w:sz w:val="16"/>
          <w:szCs w:val="16"/>
        </w:rPr>
      </w:pPr>
      <w:r w:rsidRPr="00313FD9">
        <w:rPr>
          <w:rFonts w:eastAsia="Arial Unicode MS" w:cs="Arial"/>
        </w:rPr>
        <w:t>Ordonnance organique du 13 décembre 2007 relative aux aides pour la  promotion de l’expansion économique : les aides pour les investissements généraux.</w:t>
      </w:r>
    </w:p>
    <w:p w14:paraId="14634EED" w14:textId="77777777" w:rsidR="00FD22A6" w:rsidRDefault="00FD22A6" w:rsidP="001B3D92">
      <w:pPr>
        <w:rPr>
          <w:rFonts w:eastAsia="Arial Unicode MS" w:cs="Arial"/>
          <w:b/>
          <w:i/>
        </w:rPr>
      </w:pPr>
    </w:p>
    <w:p w14:paraId="40D798E3" w14:textId="77777777" w:rsidR="00FD22A6" w:rsidRDefault="00FD22A6" w:rsidP="001B3D92">
      <w:pPr>
        <w:rPr>
          <w:rFonts w:eastAsia="Arial Unicode MS" w:cs="Arial"/>
          <w:b/>
          <w:i/>
        </w:rPr>
      </w:pPr>
    </w:p>
    <w:p w14:paraId="2A111E8C" w14:textId="77777777" w:rsidR="001B3D92" w:rsidRDefault="001B3D92" w:rsidP="001B3D92">
      <w:pPr>
        <w:rPr>
          <w:rFonts w:eastAsia="Arial Unicode MS" w:cs="Arial"/>
        </w:rPr>
      </w:pPr>
      <w:r w:rsidRPr="009650C7">
        <w:rPr>
          <w:rFonts w:eastAsia="Arial Unicode MS" w:cs="Arial"/>
          <w:b/>
          <w:i/>
        </w:rPr>
        <w:lastRenderedPageBreak/>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spécifiques »</w:t>
      </w:r>
      <w:r w:rsidRPr="009650C7">
        <w:rPr>
          <w:rFonts w:eastAsia="Arial Unicode MS" w:cs="Arial"/>
          <w:b/>
          <w:i/>
        </w:rPr>
        <w:t xml:space="preserve"> </w:t>
      </w:r>
      <w:r>
        <w:rPr>
          <w:rFonts w:eastAsia="Arial Unicode MS" w:cs="Arial"/>
        </w:rPr>
        <w:t xml:space="preserve">(1 coordinateur) </w:t>
      </w:r>
      <w:r w:rsidR="008F28FF">
        <w:rPr>
          <w:rFonts w:eastAsia="Arial Unicode MS" w:cs="Arial"/>
        </w:rPr>
        <w:t>se base légalement sur </w:t>
      </w:r>
      <w:r>
        <w:rPr>
          <w:rFonts w:eastAsia="Arial Unicode MS" w:cs="Arial"/>
        </w:rPr>
        <w:t>:</w:t>
      </w:r>
    </w:p>
    <w:p w14:paraId="6DCDB1C8" w14:textId="77777777" w:rsidR="001B3D92" w:rsidRPr="00B34EF1"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 xml:space="preserve"> promotion de l’expansion économique</w:t>
      </w:r>
      <w:r>
        <w:rPr>
          <w:rFonts w:eastAsia="Arial Unicode MS" w:cs="Arial"/>
        </w:rPr>
        <w:t> : les aides pour les investissements spécifiques.</w:t>
      </w:r>
    </w:p>
    <w:p w14:paraId="072A2618" w14:textId="77777777" w:rsidR="00107150" w:rsidRDefault="00107150">
      <w:pPr>
        <w:jc w:val="left"/>
        <w:rPr>
          <w:rFonts w:eastAsiaTheme="majorEastAsia" w:cstheme="majorBidi"/>
          <w:b/>
          <w:bCs/>
          <w:color w:val="0A00BE"/>
          <w:sz w:val="28"/>
          <w:szCs w:val="28"/>
        </w:rPr>
      </w:pPr>
      <w:r>
        <w:br w:type="page"/>
      </w:r>
    </w:p>
    <w:p w14:paraId="77041180" w14:textId="77777777" w:rsidR="00107150" w:rsidRDefault="00107150" w:rsidP="00107150">
      <w:pPr>
        <w:pStyle w:val="Titre1"/>
      </w:pPr>
      <w:bookmarkStart w:id="10" w:name="_Toc481048801"/>
      <w:r>
        <w:lastRenderedPageBreak/>
        <w:t>Vue d’ensemble : nombre de dossiers introduits et décidés</w:t>
      </w:r>
      <w:bookmarkEnd w:id="10"/>
    </w:p>
    <w:p w14:paraId="722050D6" w14:textId="77777777" w:rsidR="005C0B8D" w:rsidRDefault="005C0B8D" w:rsidP="005C0B8D">
      <w:pPr>
        <w:rPr>
          <w:rFonts w:eastAsia="Arial Unicode MS" w:cs="Arial"/>
          <w:bCs/>
        </w:rPr>
      </w:pPr>
      <w:r>
        <w:rPr>
          <w:rFonts w:cs="Arial"/>
          <w:noProof/>
          <w:lang w:eastAsia="fr-BE"/>
        </w:rPr>
        <w:drawing>
          <wp:inline distT="0" distB="0" distL="0" distR="0" wp14:anchorId="392C6855" wp14:editId="77AB464A">
            <wp:extent cx="5528733" cy="6138333"/>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C0B8D">
        <w:rPr>
          <w:rFonts w:cs="Arial"/>
        </w:rPr>
        <w:t xml:space="preserve"> </w:t>
      </w:r>
      <w:r w:rsidRPr="00B96DC6">
        <w:rPr>
          <w:rFonts w:cs="Arial"/>
        </w:rPr>
        <w:t>Primes :</w:t>
      </w:r>
      <w:r w:rsidRPr="00B96DC6">
        <w:rPr>
          <w:rFonts w:cs="Arial"/>
        </w:rPr>
        <w:tab/>
      </w:r>
      <w:r w:rsidR="001D2459">
        <w:rPr>
          <w:rFonts w:eastAsia="Arial Unicode MS" w:cs="Arial"/>
          <w:bCs/>
        </w:rPr>
        <w:t>10.502.926</w:t>
      </w:r>
      <w:r>
        <w:rPr>
          <w:rFonts w:eastAsia="Arial Unicode MS" w:cs="Arial"/>
          <w:bCs/>
        </w:rPr>
        <w:t xml:space="preserve"> €</w:t>
      </w:r>
      <w:r w:rsidR="00E43BA3">
        <w:rPr>
          <w:rFonts w:cs="Arial"/>
        </w:rPr>
        <w:tab/>
        <w:t xml:space="preserve">      </w:t>
      </w:r>
      <w:r w:rsidR="001D2459">
        <w:rPr>
          <w:rFonts w:cs="Arial"/>
        </w:rPr>
        <w:t xml:space="preserve">2.669.444 </w:t>
      </w:r>
      <w:r>
        <w:rPr>
          <w:rFonts w:cs="Arial"/>
        </w:rPr>
        <w:t xml:space="preserve"> €</w:t>
      </w:r>
      <w:r w:rsidR="00E43BA3">
        <w:rPr>
          <w:rFonts w:cs="Arial"/>
        </w:rPr>
        <w:tab/>
        <w:t xml:space="preserve">    </w:t>
      </w:r>
      <w:r w:rsidR="004D11BA">
        <w:rPr>
          <w:rFonts w:eastAsia="Arial Unicode MS" w:cs="Arial"/>
          <w:bCs/>
        </w:rPr>
        <w:t>16.481.627  €</w:t>
      </w:r>
      <w:r w:rsidR="00E43BA3">
        <w:rPr>
          <w:rFonts w:eastAsia="Arial Unicode MS" w:cs="Arial"/>
          <w:bCs/>
        </w:rPr>
        <w:tab/>
        <w:t xml:space="preserve">  </w:t>
      </w:r>
      <w:r w:rsidR="001D2459">
        <w:rPr>
          <w:rFonts w:eastAsia="Arial Unicode MS" w:cs="Arial"/>
          <w:bCs/>
        </w:rPr>
        <w:t xml:space="preserve"> 4.262.876 </w:t>
      </w:r>
      <w:r>
        <w:rPr>
          <w:rFonts w:eastAsia="Arial Unicode MS" w:cs="Arial"/>
          <w:bCs/>
        </w:rPr>
        <w:t>€</w:t>
      </w:r>
    </w:p>
    <w:p w14:paraId="5CCA0CF7" w14:textId="77777777" w:rsidR="004D11BA" w:rsidRDefault="004D11BA" w:rsidP="004D11BA">
      <w:r>
        <w:t xml:space="preserve">En 2017, l’administration a enregistré </w:t>
      </w:r>
      <w:r w:rsidRPr="00A63DCA">
        <w:rPr>
          <w:b/>
        </w:rPr>
        <w:t>5.</w:t>
      </w:r>
      <w:r>
        <w:rPr>
          <w:b/>
        </w:rPr>
        <w:t>309</w:t>
      </w:r>
      <w:r w:rsidRPr="00A63DCA">
        <w:rPr>
          <w:b/>
        </w:rPr>
        <w:t xml:space="preserve"> demandes d’aides</w:t>
      </w:r>
      <w:r>
        <w:t xml:space="preserve">, dont environ 50% de demande d’aides soft. Près de 4.676 dossiers ont fait l’objet d’une décision. Le total des primes calculées s’élève à </w:t>
      </w:r>
      <w:r>
        <w:rPr>
          <w:b/>
        </w:rPr>
        <w:t>33,9</w:t>
      </w:r>
      <w:r w:rsidRPr="00A63DCA">
        <w:rPr>
          <w:b/>
        </w:rPr>
        <w:t xml:space="preserve"> millions €</w:t>
      </w:r>
      <w:r>
        <w:t xml:space="preserve">. </w:t>
      </w:r>
    </w:p>
    <w:p w14:paraId="4E6036DF" w14:textId="77777777" w:rsidR="005C0B8D" w:rsidRDefault="005C0B8D" w:rsidP="00FA3FF1">
      <w:pPr>
        <w:jc w:val="left"/>
        <w:rPr>
          <w:rFonts w:cs="Arial"/>
          <w:sz w:val="16"/>
          <w:szCs w:val="16"/>
        </w:rPr>
      </w:pPr>
      <w:r>
        <w:rPr>
          <w:rFonts w:cs="Arial"/>
          <w:sz w:val="16"/>
          <w:szCs w:val="16"/>
        </w:rPr>
        <w:t xml:space="preserve">Introduits </w:t>
      </w:r>
      <w:r w:rsidRPr="00110D00">
        <w:rPr>
          <w:rFonts w:cs="Arial"/>
          <w:sz w:val="16"/>
          <w:szCs w:val="16"/>
        </w:rPr>
        <w:t xml:space="preserve">= date de réception de la demande par </w:t>
      </w:r>
      <w:r w:rsidR="00FA3FF1">
        <w:rPr>
          <w:rFonts w:cs="Arial"/>
          <w:sz w:val="16"/>
          <w:szCs w:val="16"/>
        </w:rPr>
        <w:t>Bruxelles Economie et Emploi (BEE)</w:t>
      </w:r>
      <w:r w:rsidR="00FA3FF1">
        <w:rPr>
          <w:rFonts w:cs="Arial"/>
          <w:sz w:val="16"/>
          <w:szCs w:val="16"/>
        </w:rPr>
        <w:br/>
      </w:r>
      <w:r>
        <w:rPr>
          <w:rFonts w:cs="Arial"/>
          <w:sz w:val="16"/>
          <w:szCs w:val="16"/>
        </w:rPr>
        <w:t xml:space="preserve">Décidés </w:t>
      </w:r>
      <w:r w:rsidRPr="00110D00">
        <w:rPr>
          <w:rFonts w:cs="Arial"/>
          <w:sz w:val="16"/>
          <w:szCs w:val="16"/>
        </w:rPr>
        <w:t xml:space="preserve">= date décision directeur (date scan support </w:t>
      </w:r>
      <w:r>
        <w:rPr>
          <w:rFonts w:cs="Arial"/>
          <w:sz w:val="16"/>
          <w:szCs w:val="16"/>
        </w:rPr>
        <w:t xml:space="preserve">du </w:t>
      </w:r>
      <w:r w:rsidRPr="00110D00">
        <w:rPr>
          <w:rFonts w:cs="Arial"/>
          <w:sz w:val="16"/>
          <w:szCs w:val="16"/>
        </w:rPr>
        <w:t>courrier de la décision)</w:t>
      </w:r>
    </w:p>
    <w:p w14:paraId="5C25EC5E" w14:textId="77777777" w:rsidR="00107150" w:rsidRDefault="00107150" w:rsidP="00107150">
      <w:pPr>
        <w:pStyle w:val="Titre1"/>
      </w:pPr>
      <w:bookmarkStart w:id="11" w:name="_Toc481048802"/>
      <w:r>
        <w:lastRenderedPageBreak/>
        <w:t>Ordonnance organique du 13/12/2007 relative aux aides pour la promotion de l’expansion économique</w:t>
      </w:r>
      <w:bookmarkEnd w:id="11"/>
    </w:p>
    <w:p w14:paraId="35E9A672" w14:textId="77777777" w:rsidR="005C0B8D" w:rsidRDefault="005C0B8D" w:rsidP="005C0B8D">
      <w:pPr>
        <w:pStyle w:val="Titre2"/>
      </w:pPr>
      <w:bookmarkStart w:id="12" w:name="_Toc481048803"/>
      <w:r>
        <w:t>Les aides SOFT</w:t>
      </w:r>
      <w:bookmarkEnd w:id="12"/>
    </w:p>
    <w:p w14:paraId="5FA32427" w14:textId="77777777" w:rsidR="00FA3FF1" w:rsidRPr="002A6EC3" w:rsidRDefault="00FA3FF1" w:rsidP="00FA3FF1">
      <w:pPr>
        <w:pStyle w:val="Titre3"/>
        <w:rPr>
          <w:rFonts w:eastAsia="Arial Unicode MS"/>
        </w:rPr>
      </w:pPr>
      <w:r w:rsidRPr="002A6EC3">
        <w:rPr>
          <w:rFonts w:eastAsia="Arial Unicode MS"/>
        </w:rPr>
        <w:t>Vue d’ensemble</w:t>
      </w:r>
    </w:p>
    <w:p w14:paraId="10AEC39D" w14:textId="77777777" w:rsidR="00FA3FF1" w:rsidRDefault="00FA3FF1" w:rsidP="00750A1B">
      <w:r w:rsidRPr="00262071">
        <w:t xml:space="preserve">Les aides </w:t>
      </w:r>
      <w:r>
        <w:t>« soft »</w:t>
      </w:r>
      <w:r w:rsidRPr="00262071">
        <w:t xml:space="preserve"> comprennent les aides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750A1B" w14:paraId="1664A327" w14:textId="77777777" w:rsidTr="00096C7E">
        <w:tc>
          <w:tcPr>
            <w:tcW w:w="4605" w:type="dxa"/>
          </w:tcPr>
          <w:p w14:paraId="1B93108A" w14:textId="77777777" w:rsidR="00750A1B" w:rsidRDefault="00096C7E" w:rsidP="00096C7E">
            <w:pPr>
              <w:pStyle w:val="Paragraphedeliste"/>
              <w:numPr>
                <w:ilvl w:val="0"/>
                <w:numId w:val="5"/>
              </w:numPr>
            </w:pPr>
            <w:r>
              <w:t>Conseils et études</w:t>
            </w:r>
          </w:p>
        </w:tc>
        <w:tc>
          <w:tcPr>
            <w:tcW w:w="4605" w:type="dxa"/>
          </w:tcPr>
          <w:p w14:paraId="73EE41F1" w14:textId="77777777" w:rsidR="00750A1B" w:rsidRDefault="00096C7E" w:rsidP="00096C7E">
            <w:pPr>
              <w:pStyle w:val="Paragraphedeliste"/>
              <w:numPr>
                <w:ilvl w:val="0"/>
                <w:numId w:val="5"/>
              </w:numPr>
            </w:pPr>
            <w:r>
              <w:t>Pré-activité</w:t>
            </w:r>
          </w:p>
        </w:tc>
      </w:tr>
      <w:tr w:rsidR="00750A1B" w14:paraId="6237F97F" w14:textId="77777777" w:rsidTr="00096C7E">
        <w:tc>
          <w:tcPr>
            <w:tcW w:w="4605" w:type="dxa"/>
          </w:tcPr>
          <w:p w14:paraId="2DD3D886" w14:textId="77777777" w:rsidR="00750A1B" w:rsidRDefault="00096C7E" w:rsidP="00096C7E">
            <w:pPr>
              <w:pStyle w:val="Paragraphedeliste"/>
              <w:numPr>
                <w:ilvl w:val="0"/>
                <w:numId w:val="5"/>
              </w:numPr>
            </w:pPr>
            <w:r>
              <w:t>Formations externes</w:t>
            </w:r>
          </w:p>
        </w:tc>
        <w:tc>
          <w:tcPr>
            <w:tcW w:w="4605" w:type="dxa"/>
          </w:tcPr>
          <w:p w14:paraId="33265FDA" w14:textId="77777777" w:rsidR="00750A1B" w:rsidRDefault="00096C7E" w:rsidP="00096C7E">
            <w:pPr>
              <w:pStyle w:val="Paragraphedeliste"/>
              <w:numPr>
                <w:ilvl w:val="0"/>
                <w:numId w:val="5"/>
              </w:numPr>
            </w:pPr>
            <w:r>
              <w:t>Tutorat FPI</w:t>
            </w:r>
          </w:p>
        </w:tc>
      </w:tr>
      <w:tr w:rsidR="00750A1B" w14:paraId="1322A471" w14:textId="77777777" w:rsidTr="00096C7E">
        <w:tc>
          <w:tcPr>
            <w:tcW w:w="4605" w:type="dxa"/>
          </w:tcPr>
          <w:p w14:paraId="186B6C09" w14:textId="77777777" w:rsidR="00750A1B" w:rsidRDefault="00096C7E" w:rsidP="00096C7E">
            <w:pPr>
              <w:pStyle w:val="Paragraphedeliste"/>
              <w:numPr>
                <w:ilvl w:val="0"/>
                <w:numId w:val="5"/>
              </w:numPr>
            </w:pPr>
            <w:r>
              <w:t>Mise à disposition</w:t>
            </w:r>
          </w:p>
        </w:tc>
        <w:tc>
          <w:tcPr>
            <w:tcW w:w="4605" w:type="dxa"/>
          </w:tcPr>
          <w:p w14:paraId="6C1C4226" w14:textId="77777777" w:rsidR="00750A1B" w:rsidRDefault="00096C7E" w:rsidP="00096C7E">
            <w:pPr>
              <w:pStyle w:val="Paragraphedeliste"/>
              <w:numPr>
                <w:ilvl w:val="0"/>
                <w:numId w:val="5"/>
              </w:numPr>
            </w:pPr>
            <w:r>
              <w:t>Recrutement ASBL</w:t>
            </w:r>
          </w:p>
        </w:tc>
      </w:tr>
      <w:tr w:rsidR="00750A1B" w14:paraId="395356F1" w14:textId="77777777" w:rsidTr="00096C7E">
        <w:tc>
          <w:tcPr>
            <w:tcW w:w="4605" w:type="dxa"/>
          </w:tcPr>
          <w:p w14:paraId="330B479C" w14:textId="77777777" w:rsidR="00750A1B" w:rsidRDefault="00096C7E" w:rsidP="00096C7E">
            <w:pPr>
              <w:pStyle w:val="Paragraphedeliste"/>
              <w:numPr>
                <w:ilvl w:val="0"/>
                <w:numId w:val="5"/>
              </w:numPr>
            </w:pPr>
            <w:r>
              <w:t>Accueil de la petite enfance</w:t>
            </w:r>
          </w:p>
        </w:tc>
        <w:tc>
          <w:tcPr>
            <w:tcW w:w="4605" w:type="dxa"/>
          </w:tcPr>
          <w:p w14:paraId="52C70D3A" w14:textId="77777777" w:rsidR="00750A1B" w:rsidRDefault="00096C7E" w:rsidP="00096C7E">
            <w:pPr>
              <w:pStyle w:val="Paragraphedeliste"/>
              <w:numPr>
                <w:ilvl w:val="0"/>
                <w:numId w:val="5"/>
              </w:numPr>
            </w:pPr>
            <w:r>
              <w:t>Recrutement projet spécifique</w:t>
            </w:r>
          </w:p>
        </w:tc>
      </w:tr>
    </w:tbl>
    <w:p w14:paraId="4D3B3278" w14:textId="77777777" w:rsidR="00750A1B" w:rsidRDefault="00750A1B" w:rsidP="00750A1B"/>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764"/>
        <w:gridCol w:w="1128"/>
        <w:gridCol w:w="989"/>
        <w:gridCol w:w="1258"/>
        <w:gridCol w:w="1395"/>
        <w:gridCol w:w="1420"/>
      </w:tblGrid>
      <w:tr w:rsidR="00FA3FF1" w:rsidRPr="00D60F63" w14:paraId="4923C158" w14:textId="77777777" w:rsidTr="00096C7E">
        <w:tc>
          <w:tcPr>
            <w:tcW w:w="2835" w:type="dxa"/>
            <w:tcBorders>
              <w:bottom w:val="single" w:sz="18" w:space="0" w:color="auto"/>
            </w:tcBorders>
          </w:tcPr>
          <w:p w14:paraId="730BF40A" w14:textId="77777777" w:rsidR="00FA3FF1" w:rsidRPr="00D60F63" w:rsidRDefault="00FA3FF1" w:rsidP="007F7DD5">
            <w:pPr>
              <w:ind w:left="57"/>
              <w:rPr>
                <w:rFonts w:eastAsia="Arial Unicode MS" w:cs="Arial"/>
                <w:bCs/>
              </w:rPr>
            </w:pPr>
            <w:r w:rsidRPr="00D60F63">
              <w:rPr>
                <w:rFonts w:eastAsia="Arial Unicode MS" w:cs="Arial"/>
                <w:bCs/>
              </w:rPr>
              <w:t>Types de dossiers</w:t>
            </w:r>
          </w:p>
        </w:tc>
        <w:tc>
          <w:tcPr>
            <w:tcW w:w="1134" w:type="dxa"/>
            <w:tcBorders>
              <w:bottom w:val="single" w:sz="18" w:space="0" w:color="auto"/>
            </w:tcBorders>
            <w:shd w:val="clear" w:color="auto" w:fill="auto"/>
          </w:tcPr>
          <w:p w14:paraId="2C9E2AA8" w14:textId="77777777" w:rsidR="00FA3FF1" w:rsidRPr="00D60F63" w:rsidRDefault="00FA3FF1" w:rsidP="007F7DD5">
            <w:pPr>
              <w:ind w:left="57"/>
              <w:jc w:val="center"/>
              <w:rPr>
                <w:rFonts w:eastAsia="Arial Unicode MS" w:cs="Arial"/>
                <w:bCs/>
              </w:rPr>
            </w:pPr>
            <w:r w:rsidRPr="00D60F63">
              <w:rPr>
                <w:rFonts w:eastAsia="Arial Unicode MS" w:cs="Arial"/>
                <w:bCs/>
              </w:rPr>
              <w:t xml:space="preserve">Nombre introduits </w:t>
            </w:r>
          </w:p>
        </w:tc>
        <w:tc>
          <w:tcPr>
            <w:tcW w:w="993" w:type="dxa"/>
            <w:tcBorders>
              <w:bottom w:val="single" w:sz="18" w:space="0" w:color="auto"/>
            </w:tcBorders>
            <w:shd w:val="clear" w:color="auto" w:fill="auto"/>
          </w:tcPr>
          <w:p w14:paraId="4AD72ECB" w14:textId="77777777" w:rsidR="00FA3FF1" w:rsidRPr="00D60F63" w:rsidRDefault="00FA3FF1" w:rsidP="007F7DD5">
            <w:pPr>
              <w:ind w:left="57"/>
              <w:jc w:val="center"/>
              <w:rPr>
                <w:rFonts w:eastAsia="Arial Unicode MS" w:cs="Arial"/>
                <w:bCs/>
              </w:rPr>
            </w:pPr>
            <w:r w:rsidRPr="00D60F63">
              <w:rPr>
                <w:rFonts w:eastAsia="Arial Unicode MS" w:cs="Arial"/>
                <w:bCs/>
              </w:rPr>
              <w:t>Nombre décidés  total</w:t>
            </w:r>
          </w:p>
        </w:tc>
        <w:tc>
          <w:tcPr>
            <w:tcW w:w="1275" w:type="dxa"/>
            <w:tcBorders>
              <w:bottom w:val="single" w:sz="18" w:space="0" w:color="auto"/>
            </w:tcBorders>
          </w:tcPr>
          <w:p w14:paraId="3C2B11B1" w14:textId="77777777" w:rsidR="00FA3FF1" w:rsidRPr="00D60F63" w:rsidRDefault="00FA3FF1" w:rsidP="00FA3FF1">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Borders>
              <w:bottom w:val="single" w:sz="18" w:space="0" w:color="auto"/>
            </w:tcBorders>
          </w:tcPr>
          <w:p w14:paraId="5B527503" w14:textId="77777777" w:rsidR="00FA3FF1" w:rsidRPr="00D60F63" w:rsidRDefault="00FA3FF1" w:rsidP="00FA3FF1">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tcBorders>
              <w:bottom w:val="single" w:sz="18" w:space="0" w:color="auto"/>
            </w:tcBorders>
            <w:shd w:val="clear" w:color="auto" w:fill="auto"/>
          </w:tcPr>
          <w:p w14:paraId="055FD966" w14:textId="77777777" w:rsidR="00FA3FF1" w:rsidRPr="00D60F63" w:rsidRDefault="00FA3FF1" w:rsidP="007F7DD5">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FA3FF1" w:rsidRPr="00262071" w14:paraId="24F0458B" w14:textId="77777777" w:rsidTr="00096C7E">
        <w:tc>
          <w:tcPr>
            <w:tcW w:w="2835" w:type="dxa"/>
            <w:tcBorders>
              <w:top w:val="dotted" w:sz="4" w:space="0" w:color="auto"/>
              <w:bottom w:val="dotted" w:sz="4" w:space="0" w:color="auto"/>
            </w:tcBorders>
          </w:tcPr>
          <w:p w14:paraId="7BBD3C02" w14:textId="77777777" w:rsidR="00FA3FF1" w:rsidRPr="00262071" w:rsidRDefault="00FA3FF1" w:rsidP="007F7DD5">
            <w:pPr>
              <w:rPr>
                <w:rFonts w:eastAsia="Arial Unicode MS" w:cs="Arial"/>
              </w:rPr>
            </w:pPr>
            <w:r w:rsidRPr="00262071">
              <w:rPr>
                <w:rFonts w:eastAsia="Arial Unicode MS" w:cs="Arial"/>
              </w:rPr>
              <w:t xml:space="preserve">Pré-activité </w:t>
            </w:r>
          </w:p>
        </w:tc>
        <w:tc>
          <w:tcPr>
            <w:tcW w:w="1134" w:type="dxa"/>
            <w:tcBorders>
              <w:top w:val="dotted" w:sz="4" w:space="0" w:color="auto"/>
              <w:bottom w:val="dotted" w:sz="4" w:space="0" w:color="auto"/>
            </w:tcBorders>
            <w:shd w:val="clear" w:color="auto" w:fill="auto"/>
          </w:tcPr>
          <w:p w14:paraId="25B42046" w14:textId="77777777" w:rsidR="00FA3FF1" w:rsidRPr="00262071" w:rsidRDefault="00325EDD" w:rsidP="007F7DD5">
            <w:pPr>
              <w:jc w:val="center"/>
              <w:rPr>
                <w:rFonts w:eastAsia="Arial Unicode MS" w:cs="Arial"/>
              </w:rPr>
            </w:pPr>
            <w:r>
              <w:rPr>
                <w:rFonts w:eastAsia="Arial Unicode MS" w:cs="Arial"/>
              </w:rPr>
              <w:t>25</w:t>
            </w:r>
          </w:p>
        </w:tc>
        <w:tc>
          <w:tcPr>
            <w:tcW w:w="993" w:type="dxa"/>
            <w:tcBorders>
              <w:top w:val="dotted" w:sz="4" w:space="0" w:color="auto"/>
              <w:bottom w:val="dotted" w:sz="4" w:space="0" w:color="auto"/>
            </w:tcBorders>
            <w:shd w:val="clear" w:color="auto" w:fill="auto"/>
          </w:tcPr>
          <w:p w14:paraId="0A46E78A" w14:textId="77777777" w:rsidR="00FA3FF1" w:rsidRPr="00262071" w:rsidRDefault="00325EDD" w:rsidP="007F7DD5">
            <w:pPr>
              <w:jc w:val="center"/>
              <w:rPr>
                <w:rFonts w:eastAsia="Arial Unicode MS" w:cs="Arial"/>
              </w:rPr>
            </w:pPr>
            <w:r>
              <w:rPr>
                <w:rFonts w:eastAsia="Arial Unicode MS" w:cs="Arial"/>
              </w:rPr>
              <w:t>22</w:t>
            </w:r>
          </w:p>
        </w:tc>
        <w:tc>
          <w:tcPr>
            <w:tcW w:w="1275" w:type="dxa"/>
            <w:tcBorders>
              <w:top w:val="dotted" w:sz="4" w:space="0" w:color="auto"/>
              <w:bottom w:val="dotted" w:sz="4" w:space="0" w:color="auto"/>
            </w:tcBorders>
          </w:tcPr>
          <w:p w14:paraId="5D2D3EE5" w14:textId="77777777" w:rsidR="00FA3FF1" w:rsidRPr="00262071" w:rsidRDefault="00325EDD" w:rsidP="007F7DD5">
            <w:pPr>
              <w:jc w:val="center"/>
              <w:rPr>
                <w:rFonts w:eastAsia="Arial Unicode MS" w:cs="Arial"/>
              </w:rPr>
            </w:pPr>
            <w:r>
              <w:rPr>
                <w:rFonts w:eastAsia="Arial Unicode MS" w:cs="Arial"/>
              </w:rPr>
              <w:t>18</w:t>
            </w:r>
          </w:p>
        </w:tc>
        <w:tc>
          <w:tcPr>
            <w:tcW w:w="1418" w:type="dxa"/>
            <w:tcBorders>
              <w:top w:val="dotted" w:sz="4" w:space="0" w:color="auto"/>
              <w:bottom w:val="dotted" w:sz="4" w:space="0" w:color="auto"/>
            </w:tcBorders>
          </w:tcPr>
          <w:p w14:paraId="2BD2C603" w14:textId="77777777" w:rsidR="00FA3FF1" w:rsidRPr="00262071" w:rsidRDefault="00325EDD" w:rsidP="007F7DD5">
            <w:pPr>
              <w:jc w:val="center"/>
              <w:rPr>
                <w:rFonts w:eastAsia="Arial Unicode MS" w:cs="Arial"/>
              </w:rPr>
            </w:pPr>
            <w:r>
              <w:rPr>
                <w:rFonts w:eastAsia="Arial Unicode MS" w:cs="Arial"/>
              </w:rPr>
              <w:t>4</w:t>
            </w:r>
          </w:p>
        </w:tc>
        <w:tc>
          <w:tcPr>
            <w:tcW w:w="1276" w:type="dxa"/>
            <w:tcBorders>
              <w:top w:val="dotted" w:sz="4" w:space="0" w:color="auto"/>
              <w:bottom w:val="dotted" w:sz="4" w:space="0" w:color="auto"/>
            </w:tcBorders>
            <w:shd w:val="clear" w:color="auto" w:fill="auto"/>
          </w:tcPr>
          <w:p w14:paraId="50032D5E" w14:textId="77777777" w:rsidR="00FA3FF1" w:rsidRPr="00262071" w:rsidRDefault="00325EDD" w:rsidP="007F7DD5">
            <w:pPr>
              <w:jc w:val="right"/>
              <w:rPr>
                <w:rFonts w:eastAsia="Arial Unicode MS" w:cs="Arial"/>
              </w:rPr>
            </w:pPr>
            <w:r>
              <w:rPr>
                <w:rFonts w:eastAsia="Arial Unicode MS" w:cs="Arial"/>
              </w:rPr>
              <w:t>102.076,88</w:t>
            </w:r>
          </w:p>
        </w:tc>
      </w:tr>
      <w:tr w:rsidR="00FA3FF1" w:rsidRPr="00262071" w14:paraId="0EDB2AB3" w14:textId="77777777" w:rsidTr="00096C7E">
        <w:tc>
          <w:tcPr>
            <w:tcW w:w="2835" w:type="dxa"/>
            <w:tcBorders>
              <w:top w:val="dotted" w:sz="4" w:space="0" w:color="auto"/>
              <w:bottom w:val="dotted" w:sz="4" w:space="0" w:color="auto"/>
            </w:tcBorders>
          </w:tcPr>
          <w:p w14:paraId="30A8A988" w14:textId="77777777" w:rsidR="00FA3FF1" w:rsidRPr="00262071" w:rsidRDefault="00FA3FF1" w:rsidP="007F7DD5">
            <w:pPr>
              <w:rPr>
                <w:rFonts w:eastAsia="Arial Unicode MS" w:cs="Arial"/>
              </w:rPr>
            </w:pPr>
            <w:r w:rsidRPr="00262071">
              <w:rPr>
                <w:rFonts w:eastAsia="Arial Unicode MS" w:cs="Arial"/>
              </w:rPr>
              <w:t xml:space="preserve">Conseils </w:t>
            </w:r>
          </w:p>
        </w:tc>
        <w:tc>
          <w:tcPr>
            <w:tcW w:w="1134" w:type="dxa"/>
            <w:tcBorders>
              <w:top w:val="dotted" w:sz="4" w:space="0" w:color="auto"/>
              <w:bottom w:val="dotted" w:sz="4" w:space="0" w:color="auto"/>
            </w:tcBorders>
            <w:shd w:val="clear" w:color="auto" w:fill="auto"/>
          </w:tcPr>
          <w:p w14:paraId="517C9D8C" w14:textId="77777777" w:rsidR="00FA3FF1" w:rsidRPr="00262071" w:rsidRDefault="00325EDD" w:rsidP="007F7DD5">
            <w:pPr>
              <w:jc w:val="center"/>
              <w:rPr>
                <w:rFonts w:eastAsia="Arial Unicode MS" w:cs="Arial"/>
              </w:rPr>
            </w:pPr>
            <w:r>
              <w:rPr>
                <w:rFonts w:eastAsia="Arial Unicode MS" w:cs="Arial"/>
              </w:rPr>
              <w:t>1185</w:t>
            </w:r>
          </w:p>
        </w:tc>
        <w:tc>
          <w:tcPr>
            <w:tcW w:w="993" w:type="dxa"/>
            <w:tcBorders>
              <w:top w:val="dotted" w:sz="4" w:space="0" w:color="auto"/>
              <w:bottom w:val="dotted" w:sz="4" w:space="0" w:color="auto"/>
            </w:tcBorders>
            <w:shd w:val="clear" w:color="auto" w:fill="auto"/>
          </w:tcPr>
          <w:p w14:paraId="34B4E737" w14:textId="77777777" w:rsidR="00FA3FF1" w:rsidRPr="00262071" w:rsidRDefault="00325EDD" w:rsidP="007F7DD5">
            <w:pPr>
              <w:jc w:val="center"/>
              <w:rPr>
                <w:rFonts w:eastAsia="Arial Unicode MS" w:cs="Arial"/>
              </w:rPr>
            </w:pPr>
            <w:r>
              <w:rPr>
                <w:rFonts w:eastAsia="Arial Unicode MS" w:cs="Arial"/>
              </w:rPr>
              <w:t>990</w:t>
            </w:r>
          </w:p>
        </w:tc>
        <w:tc>
          <w:tcPr>
            <w:tcW w:w="1275" w:type="dxa"/>
            <w:tcBorders>
              <w:top w:val="dotted" w:sz="4" w:space="0" w:color="auto"/>
              <w:bottom w:val="dotted" w:sz="4" w:space="0" w:color="auto"/>
            </w:tcBorders>
          </w:tcPr>
          <w:p w14:paraId="1B16FD47" w14:textId="77777777" w:rsidR="00FA3FF1" w:rsidRPr="00262071" w:rsidRDefault="00325EDD" w:rsidP="007F7DD5">
            <w:pPr>
              <w:jc w:val="center"/>
              <w:rPr>
                <w:rFonts w:eastAsia="Arial Unicode MS" w:cs="Arial"/>
              </w:rPr>
            </w:pPr>
            <w:r>
              <w:rPr>
                <w:rFonts w:eastAsia="Arial Unicode MS" w:cs="Arial"/>
              </w:rPr>
              <w:t>824</w:t>
            </w:r>
          </w:p>
        </w:tc>
        <w:tc>
          <w:tcPr>
            <w:tcW w:w="1418" w:type="dxa"/>
            <w:tcBorders>
              <w:top w:val="dotted" w:sz="4" w:space="0" w:color="auto"/>
              <w:bottom w:val="dotted" w:sz="4" w:space="0" w:color="auto"/>
            </w:tcBorders>
          </w:tcPr>
          <w:p w14:paraId="5BFF4D88" w14:textId="77777777" w:rsidR="00FA3FF1" w:rsidRPr="00262071" w:rsidRDefault="00325EDD" w:rsidP="007F7DD5">
            <w:pPr>
              <w:jc w:val="center"/>
              <w:rPr>
                <w:rFonts w:eastAsia="Arial Unicode MS" w:cs="Arial"/>
              </w:rPr>
            </w:pPr>
            <w:r>
              <w:rPr>
                <w:rFonts w:eastAsia="Arial Unicode MS" w:cs="Arial"/>
              </w:rPr>
              <w:t>166</w:t>
            </w:r>
          </w:p>
        </w:tc>
        <w:tc>
          <w:tcPr>
            <w:tcW w:w="1276" w:type="dxa"/>
            <w:tcBorders>
              <w:top w:val="dotted" w:sz="4" w:space="0" w:color="auto"/>
              <w:bottom w:val="dotted" w:sz="4" w:space="0" w:color="auto"/>
            </w:tcBorders>
            <w:shd w:val="clear" w:color="auto" w:fill="auto"/>
          </w:tcPr>
          <w:p w14:paraId="6C4E31D8" w14:textId="77777777" w:rsidR="00FA3FF1" w:rsidRPr="00262071" w:rsidRDefault="00325EDD" w:rsidP="00325EDD">
            <w:pPr>
              <w:jc w:val="right"/>
              <w:rPr>
                <w:rFonts w:eastAsia="Arial Unicode MS" w:cs="Arial"/>
              </w:rPr>
            </w:pPr>
            <w:r>
              <w:rPr>
                <w:rFonts w:eastAsia="Arial Unicode MS" w:cs="Arial"/>
              </w:rPr>
              <w:t>6.816.966,60</w:t>
            </w:r>
          </w:p>
        </w:tc>
      </w:tr>
      <w:tr w:rsidR="00FA3FF1" w:rsidRPr="00262071" w14:paraId="3CC28ED3" w14:textId="77777777" w:rsidTr="00096C7E">
        <w:tc>
          <w:tcPr>
            <w:tcW w:w="2835" w:type="dxa"/>
            <w:tcBorders>
              <w:top w:val="dotted" w:sz="4" w:space="0" w:color="auto"/>
              <w:bottom w:val="dotted" w:sz="4" w:space="0" w:color="auto"/>
            </w:tcBorders>
          </w:tcPr>
          <w:p w14:paraId="0901D8FE" w14:textId="77777777" w:rsidR="00FA3FF1" w:rsidRPr="00262071" w:rsidRDefault="00FA3FF1" w:rsidP="007F7DD5">
            <w:pPr>
              <w:rPr>
                <w:rFonts w:eastAsia="Arial Unicode MS" w:cs="Arial"/>
              </w:rPr>
            </w:pPr>
            <w:r>
              <w:rPr>
                <w:rFonts w:eastAsia="Arial Unicode MS" w:cs="Arial"/>
              </w:rPr>
              <w:t>E</w:t>
            </w:r>
            <w:r w:rsidRPr="00262071">
              <w:rPr>
                <w:rFonts w:eastAsia="Arial Unicode MS" w:cs="Arial"/>
              </w:rPr>
              <w:t>tudes</w:t>
            </w:r>
          </w:p>
        </w:tc>
        <w:tc>
          <w:tcPr>
            <w:tcW w:w="1134" w:type="dxa"/>
            <w:tcBorders>
              <w:top w:val="dotted" w:sz="4" w:space="0" w:color="auto"/>
              <w:bottom w:val="dotted" w:sz="4" w:space="0" w:color="auto"/>
            </w:tcBorders>
            <w:shd w:val="clear" w:color="auto" w:fill="auto"/>
          </w:tcPr>
          <w:p w14:paraId="26EE3216" w14:textId="77777777" w:rsidR="00FA3FF1" w:rsidRDefault="00325EDD" w:rsidP="007F7DD5">
            <w:pPr>
              <w:jc w:val="center"/>
              <w:rPr>
                <w:rFonts w:eastAsia="Arial Unicode MS" w:cs="Arial"/>
              </w:rPr>
            </w:pPr>
            <w:r>
              <w:rPr>
                <w:rFonts w:eastAsia="Arial Unicode MS" w:cs="Arial"/>
              </w:rPr>
              <w:t>66</w:t>
            </w:r>
          </w:p>
        </w:tc>
        <w:tc>
          <w:tcPr>
            <w:tcW w:w="993" w:type="dxa"/>
            <w:tcBorders>
              <w:top w:val="dotted" w:sz="4" w:space="0" w:color="auto"/>
              <w:bottom w:val="dotted" w:sz="4" w:space="0" w:color="auto"/>
            </w:tcBorders>
            <w:shd w:val="clear" w:color="auto" w:fill="auto"/>
          </w:tcPr>
          <w:p w14:paraId="1B04371C" w14:textId="77777777" w:rsidR="00FA3FF1" w:rsidRDefault="00325EDD" w:rsidP="007F7DD5">
            <w:pPr>
              <w:jc w:val="center"/>
              <w:rPr>
                <w:rFonts w:eastAsia="Arial Unicode MS" w:cs="Arial"/>
              </w:rPr>
            </w:pPr>
            <w:r>
              <w:rPr>
                <w:rFonts w:eastAsia="Arial Unicode MS" w:cs="Arial"/>
              </w:rPr>
              <w:t>50</w:t>
            </w:r>
          </w:p>
        </w:tc>
        <w:tc>
          <w:tcPr>
            <w:tcW w:w="1275" w:type="dxa"/>
            <w:tcBorders>
              <w:top w:val="dotted" w:sz="4" w:space="0" w:color="auto"/>
              <w:bottom w:val="dotted" w:sz="4" w:space="0" w:color="auto"/>
            </w:tcBorders>
          </w:tcPr>
          <w:p w14:paraId="0BC2DABB" w14:textId="77777777" w:rsidR="00FA3FF1" w:rsidRDefault="00325EDD" w:rsidP="007F7DD5">
            <w:pPr>
              <w:jc w:val="center"/>
              <w:rPr>
                <w:rFonts w:eastAsia="Arial Unicode MS" w:cs="Arial"/>
              </w:rPr>
            </w:pPr>
            <w:r>
              <w:rPr>
                <w:rFonts w:eastAsia="Arial Unicode MS" w:cs="Arial"/>
              </w:rPr>
              <w:t>45</w:t>
            </w:r>
          </w:p>
        </w:tc>
        <w:tc>
          <w:tcPr>
            <w:tcW w:w="1418" w:type="dxa"/>
            <w:tcBorders>
              <w:top w:val="dotted" w:sz="4" w:space="0" w:color="auto"/>
              <w:bottom w:val="dotted" w:sz="4" w:space="0" w:color="auto"/>
            </w:tcBorders>
          </w:tcPr>
          <w:p w14:paraId="4D4DFC31" w14:textId="77777777" w:rsidR="00FA3FF1" w:rsidRDefault="00325EDD" w:rsidP="007F7DD5">
            <w:pPr>
              <w:jc w:val="center"/>
              <w:rPr>
                <w:rFonts w:eastAsia="Arial Unicode MS" w:cs="Arial"/>
              </w:rPr>
            </w:pPr>
            <w:r>
              <w:rPr>
                <w:rFonts w:eastAsia="Arial Unicode MS" w:cs="Arial"/>
              </w:rPr>
              <w:t>5</w:t>
            </w:r>
          </w:p>
        </w:tc>
        <w:tc>
          <w:tcPr>
            <w:tcW w:w="1276" w:type="dxa"/>
            <w:tcBorders>
              <w:top w:val="dotted" w:sz="4" w:space="0" w:color="auto"/>
              <w:bottom w:val="dotted" w:sz="4" w:space="0" w:color="auto"/>
            </w:tcBorders>
            <w:shd w:val="clear" w:color="auto" w:fill="auto"/>
          </w:tcPr>
          <w:p w14:paraId="43D0CFD9" w14:textId="77777777" w:rsidR="00FA3FF1" w:rsidRDefault="00325EDD" w:rsidP="007F7DD5">
            <w:pPr>
              <w:jc w:val="right"/>
              <w:rPr>
                <w:rFonts w:eastAsia="Arial Unicode MS" w:cs="Arial"/>
              </w:rPr>
            </w:pPr>
            <w:r>
              <w:rPr>
                <w:rFonts w:eastAsia="Arial Unicode MS" w:cs="Arial"/>
              </w:rPr>
              <w:t>305.920,33</w:t>
            </w:r>
          </w:p>
        </w:tc>
      </w:tr>
      <w:tr w:rsidR="00FA3FF1" w:rsidRPr="00262071" w14:paraId="1E868984" w14:textId="77777777" w:rsidTr="00096C7E">
        <w:tc>
          <w:tcPr>
            <w:tcW w:w="2835" w:type="dxa"/>
            <w:tcBorders>
              <w:top w:val="dotted" w:sz="4" w:space="0" w:color="auto"/>
              <w:bottom w:val="dotted" w:sz="4" w:space="0" w:color="auto"/>
            </w:tcBorders>
          </w:tcPr>
          <w:p w14:paraId="0EEE0A13" w14:textId="77777777" w:rsidR="00FA3FF1" w:rsidRPr="00262071" w:rsidRDefault="00FA3FF1" w:rsidP="007F7DD5">
            <w:pPr>
              <w:rPr>
                <w:rFonts w:eastAsia="Arial Unicode MS" w:cs="Arial"/>
              </w:rPr>
            </w:pPr>
            <w:r w:rsidRPr="00262071">
              <w:rPr>
                <w:rFonts w:eastAsia="Arial Unicode MS" w:cs="Arial"/>
              </w:rPr>
              <w:t>Formation externe</w:t>
            </w:r>
          </w:p>
        </w:tc>
        <w:tc>
          <w:tcPr>
            <w:tcW w:w="1134" w:type="dxa"/>
            <w:tcBorders>
              <w:top w:val="dotted" w:sz="4" w:space="0" w:color="auto"/>
              <w:bottom w:val="dotted" w:sz="4" w:space="0" w:color="auto"/>
            </w:tcBorders>
            <w:shd w:val="clear" w:color="auto" w:fill="auto"/>
          </w:tcPr>
          <w:p w14:paraId="5D053113" w14:textId="77777777" w:rsidR="00FA3FF1" w:rsidRPr="00262071" w:rsidRDefault="00325EDD" w:rsidP="007F7DD5">
            <w:pPr>
              <w:jc w:val="center"/>
              <w:rPr>
                <w:rFonts w:eastAsia="Arial Unicode MS" w:cs="Arial"/>
              </w:rPr>
            </w:pPr>
            <w:r>
              <w:rPr>
                <w:rFonts w:eastAsia="Arial Unicode MS" w:cs="Arial"/>
              </w:rPr>
              <w:t>1031</w:t>
            </w:r>
          </w:p>
        </w:tc>
        <w:tc>
          <w:tcPr>
            <w:tcW w:w="993" w:type="dxa"/>
            <w:tcBorders>
              <w:top w:val="dotted" w:sz="4" w:space="0" w:color="auto"/>
              <w:bottom w:val="dotted" w:sz="4" w:space="0" w:color="auto"/>
            </w:tcBorders>
            <w:shd w:val="clear" w:color="auto" w:fill="auto"/>
          </w:tcPr>
          <w:p w14:paraId="2B388C42" w14:textId="77777777" w:rsidR="00FA3FF1" w:rsidRPr="00262071" w:rsidRDefault="00325EDD" w:rsidP="007F7DD5">
            <w:pPr>
              <w:jc w:val="center"/>
              <w:rPr>
                <w:rFonts w:eastAsia="Arial Unicode MS" w:cs="Arial"/>
              </w:rPr>
            </w:pPr>
            <w:r>
              <w:rPr>
                <w:rFonts w:eastAsia="Arial Unicode MS" w:cs="Arial"/>
              </w:rPr>
              <w:t>1045</w:t>
            </w:r>
          </w:p>
        </w:tc>
        <w:tc>
          <w:tcPr>
            <w:tcW w:w="1275" w:type="dxa"/>
            <w:tcBorders>
              <w:top w:val="dotted" w:sz="4" w:space="0" w:color="auto"/>
              <w:bottom w:val="dotted" w:sz="4" w:space="0" w:color="auto"/>
            </w:tcBorders>
          </w:tcPr>
          <w:p w14:paraId="33697819" w14:textId="77777777" w:rsidR="00FA3FF1" w:rsidRPr="00262071" w:rsidRDefault="00325EDD" w:rsidP="007F7DD5">
            <w:pPr>
              <w:jc w:val="center"/>
              <w:rPr>
                <w:rFonts w:eastAsia="Arial Unicode MS" w:cs="Arial"/>
              </w:rPr>
            </w:pPr>
            <w:r>
              <w:rPr>
                <w:rFonts w:eastAsia="Arial Unicode MS" w:cs="Arial"/>
              </w:rPr>
              <w:t>791</w:t>
            </w:r>
          </w:p>
        </w:tc>
        <w:tc>
          <w:tcPr>
            <w:tcW w:w="1418" w:type="dxa"/>
            <w:tcBorders>
              <w:top w:val="dotted" w:sz="4" w:space="0" w:color="auto"/>
              <w:bottom w:val="dotted" w:sz="4" w:space="0" w:color="auto"/>
            </w:tcBorders>
          </w:tcPr>
          <w:p w14:paraId="703132CB" w14:textId="77777777" w:rsidR="00FA3FF1" w:rsidRPr="00262071" w:rsidRDefault="00325EDD" w:rsidP="007F7DD5">
            <w:pPr>
              <w:jc w:val="center"/>
              <w:rPr>
                <w:rFonts w:eastAsia="Arial Unicode MS" w:cs="Arial"/>
              </w:rPr>
            </w:pPr>
            <w:r>
              <w:rPr>
                <w:rFonts w:eastAsia="Arial Unicode MS" w:cs="Arial"/>
              </w:rPr>
              <w:t>254</w:t>
            </w:r>
          </w:p>
        </w:tc>
        <w:tc>
          <w:tcPr>
            <w:tcW w:w="1276" w:type="dxa"/>
            <w:tcBorders>
              <w:top w:val="dotted" w:sz="4" w:space="0" w:color="auto"/>
              <w:bottom w:val="dotted" w:sz="4" w:space="0" w:color="auto"/>
            </w:tcBorders>
            <w:shd w:val="clear" w:color="auto" w:fill="auto"/>
          </w:tcPr>
          <w:p w14:paraId="2A767C2D" w14:textId="77777777" w:rsidR="00FA3FF1" w:rsidRPr="00262071" w:rsidRDefault="00325EDD" w:rsidP="007F7DD5">
            <w:pPr>
              <w:jc w:val="right"/>
              <w:rPr>
                <w:rFonts w:eastAsia="Arial Unicode MS" w:cs="Arial"/>
              </w:rPr>
            </w:pPr>
            <w:r>
              <w:rPr>
                <w:rFonts w:eastAsia="Arial Unicode MS" w:cs="Arial"/>
              </w:rPr>
              <w:t>1.263.475,99</w:t>
            </w:r>
          </w:p>
        </w:tc>
      </w:tr>
      <w:tr w:rsidR="00FA3FF1" w:rsidRPr="00262071" w14:paraId="4DD9FCB8" w14:textId="77777777" w:rsidTr="00096C7E">
        <w:tc>
          <w:tcPr>
            <w:tcW w:w="2835" w:type="dxa"/>
            <w:tcBorders>
              <w:top w:val="dotted" w:sz="4" w:space="0" w:color="auto"/>
              <w:bottom w:val="dotted" w:sz="4" w:space="0" w:color="auto"/>
            </w:tcBorders>
          </w:tcPr>
          <w:p w14:paraId="2A564527" w14:textId="77777777" w:rsidR="00FA3FF1" w:rsidRPr="00262071" w:rsidRDefault="00FA3FF1" w:rsidP="007F7DD5">
            <w:pPr>
              <w:rPr>
                <w:rFonts w:eastAsia="Arial Unicode MS" w:cs="Arial"/>
              </w:rPr>
            </w:pPr>
            <w:r w:rsidRPr="00262071">
              <w:rPr>
                <w:rFonts w:eastAsia="Arial Unicode MS" w:cs="Arial"/>
              </w:rPr>
              <w:t>Tutorat FPI</w:t>
            </w:r>
          </w:p>
        </w:tc>
        <w:tc>
          <w:tcPr>
            <w:tcW w:w="1134" w:type="dxa"/>
            <w:tcBorders>
              <w:top w:val="dotted" w:sz="4" w:space="0" w:color="auto"/>
              <w:bottom w:val="dotted" w:sz="4" w:space="0" w:color="auto"/>
            </w:tcBorders>
            <w:shd w:val="clear" w:color="auto" w:fill="auto"/>
          </w:tcPr>
          <w:p w14:paraId="4AA7A57C" w14:textId="77777777" w:rsidR="00FA3FF1" w:rsidRPr="00262071" w:rsidRDefault="00325EDD" w:rsidP="007F7DD5">
            <w:pPr>
              <w:jc w:val="center"/>
              <w:rPr>
                <w:rFonts w:eastAsia="Arial Unicode MS" w:cs="Arial"/>
              </w:rPr>
            </w:pPr>
            <w:r>
              <w:rPr>
                <w:rFonts w:eastAsia="Arial Unicode MS" w:cs="Arial"/>
              </w:rPr>
              <w:t>68</w:t>
            </w:r>
          </w:p>
        </w:tc>
        <w:tc>
          <w:tcPr>
            <w:tcW w:w="993" w:type="dxa"/>
            <w:tcBorders>
              <w:top w:val="dotted" w:sz="4" w:space="0" w:color="auto"/>
              <w:bottom w:val="dotted" w:sz="4" w:space="0" w:color="auto"/>
            </w:tcBorders>
            <w:shd w:val="clear" w:color="auto" w:fill="auto"/>
          </w:tcPr>
          <w:p w14:paraId="1C84685B" w14:textId="77777777" w:rsidR="00FA3FF1" w:rsidRPr="00262071" w:rsidRDefault="00325EDD" w:rsidP="007F7DD5">
            <w:pPr>
              <w:jc w:val="center"/>
              <w:rPr>
                <w:rFonts w:eastAsia="Arial Unicode MS" w:cs="Arial"/>
              </w:rPr>
            </w:pPr>
            <w:r>
              <w:rPr>
                <w:rFonts w:eastAsia="Arial Unicode MS" w:cs="Arial"/>
              </w:rPr>
              <w:t>63</w:t>
            </w:r>
          </w:p>
        </w:tc>
        <w:tc>
          <w:tcPr>
            <w:tcW w:w="1275" w:type="dxa"/>
            <w:tcBorders>
              <w:top w:val="dotted" w:sz="4" w:space="0" w:color="auto"/>
              <w:bottom w:val="dotted" w:sz="4" w:space="0" w:color="auto"/>
            </w:tcBorders>
          </w:tcPr>
          <w:p w14:paraId="1EA42A86" w14:textId="77777777" w:rsidR="00FA3FF1" w:rsidRPr="00262071" w:rsidRDefault="00325EDD" w:rsidP="007F7DD5">
            <w:pPr>
              <w:jc w:val="center"/>
              <w:rPr>
                <w:rFonts w:eastAsia="Arial Unicode MS" w:cs="Arial"/>
              </w:rPr>
            </w:pPr>
            <w:r>
              <w:rPr>
                <w:rFonts w:eastAsia="Arial Unicode MS" w:cs="Arial"/>
              </w:rPr>
              <w:t>51</w:t>
            </w:r>
          </w:p>
        </w:tc>
        <w:tc>
          <w:tcPr>
            <w:tcW w:w="1418" w:type="dxa"/>
            <w:tcBorders>
              <w:top w:val="dotted" w:sz="4" w:space="0" w:color="auto"/>
              <w:bottom w:val="dotted" w:sz="4" w:space="0" w:color="auto"/>
            </w:tcBorders>
          </w:tcPr>
          <w:p w14:paraId="1B002AC0" w14:textId="77777777" w:rsidR="00FA3FF1" w:rsidRPr="00262071" w:rsidRDefault="00325EDD" w:rsidP="007F7DD5">
            <w:pPr>
              <w:jc w:val="center"/>
              <w:rPr>
                <w:rFonts w:eastAsia="Arial Unicode MS" w:cs="Arial"/>
              </w:rPr>
            </w:pPr>
            <w:r>
              <w:rPr>
                <w:rFonts w:eastAsia="Arial Unicode MS" w:cs="Arial"/>
              </w:rPr>
              <w:t>12</w:t>
            </w:r>
          </w:p>
        </w:tc>
        <w:tc>
          <w:tcPr>
            <w:tcW w:w="1276" w:type="dxa"/>
            <w:tcBorders>
              <w:top w:val="dotted" w:sz="4" w:space="0" w:color="auto"/>
              <w:bottom w:val="dotted" w:sz="4" w:space="0" w:color="auto"/>
            </w:tcBorders>
            <w:shd w:val="clear" w:color="auto" w:fill="auto"/>
          </w:tcPr>
          <w:p w14:paraId="7074D9F2" w14:textId="77777777" w:rsidR="00FA3FF1" w:rsidRPr="00262071" w:rsidRDefault="00325EDD" w:rsidP="007F7DD5">
            <w:pPr>
              <w:jc w:val="right"/>
              <w:rPr>
                <w:rFonts w:eastAsia="Arial Unicode MS" w:cs="Arial"/>
              </w:rPr>
            </w:pPr>
            <w:r>
              <w:rPr>
                <w:rFonts w:eastAsia="Arial Unicode MS" w:cs="Arial"/>
              </w:rPr>
              <w:t>254.000</w:t>
            </w:r>
          </w:p>
        </w:tc>
      </w:tr>
      <w:tr w:rsidR="00FA3FF1" w:rsidRPr="00262071" w14:paraId="475F7D03" w14:textId="77777777" w:rsidTr="00096C7E">
        <w:tc>
          <w:tcPr>
            <w:tcW w:w="2835" w:type="dxa"/>
            <w:tcBorders>
              <w:top w:val="dotted" w:sz="4" w:space="0" w:color="auto"/>
              <w:bottom w:val="dotted" w:sz="4" w:space="0" w:color="auto"/>
            </w:tcBorders>
          </w:tcPr>
          <w:p w14:paraId="3EC0F696" w14:textId="77777777" w:rsidR="00FA3FF1" w:rsidRPr="00262071" w:rsidRDefault="00FA3FF1" w:rsidP="007F7DD5">
            <w:pPr>
              <w:rPr>
                <w:rFonts w:eastAsia="Arial Unicode MS" w:cs="Arial"/>
              </w:rPr>
            </w:pPr>
            <w:r>
              <w:rPr>
                <w:rFonts w:eastAsia="Arial Unicode MS" w:cs="Arial"/>
              </w:rPr>
              <w:t>Mise à disposition</w:t>
            </w:r>
          </w:p>
        </w:tc>
        <w:tc>
          <w:tcPr>
            <w:tcW w:w="1134" w:type="dxa"/>
            <w:tcBorders>
              <w:top w:val="dotted" w:sz="4" w:space="0" w:color="auto"/>
              <w:bottom w:val="dotted" w:sz="4" w:space="0" w:color="auto"/>
            </w:tcBorders>
            <w:shd w:val="clear" w:color="auto" w:fill="auto"/>
          </w:tcPr>
          <w:p w14:paraId="0BC0A6DF" w14:textId="77777777" w:rsidR="00FA3FF1" w:rsidRDefault="00325EDD" w:rsidP="007F7DD5">
            <w:pPr>
              <w:jc w:val="center"/>
              <w:rPr>
                <w:rFonts w:eastAsia="Arial Unicode MS" w:cs="Arial"/>
              </w:rPr>
            </w:pPr>
            <w:r>
              <w:rPr>
                <w:rFonts w:eastAsia="Arial Unicode MS" w:cs="Arial"/>
              </w:rPr>
              <w:t>13</w:t>
            </w:r>
          </w:p>
        </w:tc>
        <w:tc>
          <w:tcPr>
            <w:tcW w:w="993" w:type="dxa"/>
            <w:tcBorders>
              <w:top w:val="dotted" w:sz="4" w:space="0" w:color="auto"/>
              <w:bottom w:val="dotted" w:sz="4" w:space="0" w:color="auto"/>
            </w:tcBorders>
            <w:shd w:val="clear" w:color="auto" w:fill="auto"/>
          </w:tcPr>
          <w:p w14:paraId="78CE6C56" w14:textId="77777777" w:rsidR="00FA3FF1" w:rsidRPr="00262071" w:rsidRDefault="00325EDD" w:rsidP="007F7DD5">
            <w:pPr>
              <w:jc w:val="center"/>
              <w:rPr>
                <w:rFonts w:eastAsia="Arial Unicode MS" w:cs="Arial"/>
              </w:rPr>
            </w:pPr>
            <w:r>
              <w:rPr>
                <w:rFonts w:eastAsia="Arial Unicode MS" w:cs="Arial"/>
              </w:rPr>
              <w:t>7</w:t>
            </w:r>
          </w:p>
        </w:tc>
        <w:tc>
          <w:tcPr>
            <w:tcW w:w="1275" w:type="dxa"/>
            <w:tcBorders>
              <w:top w:val="dotted" w:sz="4" w:space="0" w:color="auto"/>
              <w:bottom w:val="dotted" w:sz="4" w:space="0" w:color="auto"/>
            </w:tcBorders>
          </w:tcPr>
          <w:p w14:paraId="221F0958" w14:textId="77777777" w:rsidR="00FA3FF1" w:rsidRPr="00262071" w:rsidRDefault="00325EDD" w:rsidP="007F7DD5">
            <w:pPr>
              <w:jc w:val="center"/>
              <w:rPr>
                <w:rFonts w:eastAsia="Arial Unicode MS" w:cs="Arial"/>
              </w:rPr>
            </w:pPr>
            <w:r>
              <w:rPr>
                <w:rFonts w:eastAsia="Arial Unicode MS" w:cs="Arial"/>
              </w:rPr>
              <w:t>7</w:t>
            </w:r>
          </w:p>
        </w:tc>
        <w:tc>
          <w:tcPr>
            <w:tcW w:w="1418" w:type="dxa"/>
            <w:tcBorders>
              <w:top w:val="dotted" w:sz="4" w:space="0" w:color="auto"/>
              <w:bottom w:val="dotted" w:sz="4" w:space="0" w:color="auto"/>
            </w:tcBorders>
          </w:tcPr>
          <w:p w14:paraId="1BB6303D" w14:textId="77777777" w:rsidR="00FA3FF1" w:rsidRPr="00262071" w:rsidRDefault="00325EDD"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376561A3" w14:textId="77777777" w:rsidR="00FA3FF1" w:rsidRPr="00262071" w:rsidRDefault="00325EDD" w:rsidP="007F7DD5">
            <w:pPr>
              <w:jc w:val="right"/>
              <w:rPr>
                <w:rFonts w:eastAsia="Arial Unicode MS" w:cs="Arial"/>
              </w:rPr>
            </w:pPr>
            <w:r>
              <w:rPr>
                <w:rFonts w:eastAsia="Arial Unicode MS" w:cs="Arial"/>
              </w:rPr>
              <w:t>66.600</w:t>
            </w:r>
          </w:p>
        </w:tc>
      </w:tr>
      <w:tr w:rsidR="00FA3FF1" w:rsidRPr="00262071" w14:paraId="63C4D5C8" w14:textId="77777777" w:rsidTr="00096C7E">
        <w:tc>
          <w:tcPr>
            <w:tcW w:w="2835" w:type="dxa"/>
            <w:tcBorders>
              <w:top w:val="dotted" w:sz="4" w:space="0" w:color="auto"/>
              <w:bottom w:val="dotted" w:sz="4" w:space="0" w:color="auto"/>
            </w:tcBorders>
          </w:tcPr>
          <w:p w14:paraId="354BAAEA" w14:textId="77777777" w:rsidR="00FA3FF1" w:rsidRPr="00262071" w:rsidRDefault="00FA3FF1" w:rsidP="007F7DD5">
            <w:pPr>
              <w:rPr>
                <w:rFonts w:eastAsia="Arial Unicode MS" w:cs="Arial"/>
              </w:rPr>
            </w:pPr>
            <w:r w:rsidRPr="00262071">
              <w:rPr>
                <w:rFonts w:eastAsia="Arial Unicode MS" w:cs="Arial"/>
              </w:rPr>
              <w:t>Recrutement projet spécifique</w:t>
            </w:r>
          </w:p>
        </w:tc>
        <w:tc>
          <w:tcPr>
            <w:tcW w:w="1134" w:type="dxa"/>
            <w:tcBorders>
              <w:top w:val="dotted" w:sz="4" w:space="0" w:color="auto"/>
              <w:bottom w:val="dotted" w:sz="4" w:space="0" w:color="auto"/>
            </w:tcBorders>
            <w:shd w:val="clear" w:color="auto" w:fill="auto"/>
          </w:tcPr>
          <w:p w14:paraId="32E8B025" w14:textId="77777777" w:rsidR="00FA3FF1" w:rsidRPr="00262071" w:rsidRDefault="00325EDD" w:rsidP="007F7DD5">
            <w:pPr>
              <w:jc w:val="center"/>
              <w:rPr>
                <w:rFonts w:eastAsia="Arial Unicode MS" w:cs="Arial"/>
              </w:rPr>
            </w:pPr>
            <w:r>
              <w:rPr>
                <w:rFonts w:eastAsia="Arial Unicode MS" w:cs="Arial"/>
              </w:rPr>
              <w:t>38</w:t>
            </w:r>
          </w:p>
        </w:tc>
        <w:tc>
          <w:tcPr>
            <w:tcW w:w="993" w:type="dxa"/>
            <w:tcBorders>
              <w:top w:val="dotted" w:sz="4" w:space="0" w:color="auto"/>
              <w:bottom w:val="dotted" w:sz="4" w:space="0" w:color="auto"/>
            </w:tcBorders>
            <w:shd w:val="clear" w:color="auto" w:fill="auto"/>
          </w:tcPr>
          <w:p w14:paraId="23BA4CD1" w14:textId="77777777" w:rsidR="00FA3FF1" w:rsidRPr="00262071" w:rsidRDefault="00325EDD" w:rsidP="007F7DD5">
            <w:pPr>
              <w:jc w:val="center"/>
              <w:rPr>
                <w:rFonts w:eastAsia="Arial Unicode MS" w:cs="Arial"/>
              </w:rPr>
            </w:pPr>
            <w:r>
              <w:rPr>
                <w:rFonts w:eastAsia="Arial Unicode MS" w:cs="Arial"/>
              </w:rPr>
              <w:t>39</w:t>
            </w:r>
          </w:p>
        </w:tc>
        <w:tc>
          <w:tcPr>
            <w:tcW w:w="1275" w:type="dxa"/>
            <w:tcBorders>
              <w:top w:val="dotted" w:sz="4" w:space="0" w:color="auto"/>
              <w:bottom w:val="dotted" w:sz="4" w:space="0" w:color="auto"/>
            </w:tcBorders>
          </w:tcPr>
          <w:p w14:paraId="3D21AB71" w14:textId="77777777" w:rsidR="00FA3FF1" w:rsidRPr="00262071" w:rsidRDefault="00325EDD" w:rsidP="007F7DD5">
            <w:pPr>
              <w:jc w:val="center"/>
              <w:rPr>
                <w:rFonts w:eastAsia="Arial Unicode MS" w:cs="Arial"/>
              </w:rPr>
            </w:pPr>
            <w:r>
              <w:rPr>
                <w:rFonts w:eastAsia="Arial Unicode MS" w:cs="Arial"/>
              </w:rPr>
              <w:t>22</w:t>
            </w:r>
          </w:p>
        </w:tc>
        <w:tc>
          <w:tcPr>
            <w:tcW w:w="1418" w:type="dxa"/>
            <w:tcBorders>
              <w:top w:val="dotted" w:sz="4" w:space="0" w:color="auto"/>
              <w:bottom w:val="dotted" w:sz="4" w:space="0" w:color="auto"/>
            </w:tcBorders>
          </w:tcPr>
          <w:p w14:paraId="4FBAECC2" w14:textId="77777777" w:rsidR="00FA3FF1" w:rsidRPr="00262071" w:rsidRDefault="00325EDD" w:rsidP="007F7DD5">
            <w:pPr>
              <w:jc w:val="center"/>
              <w:rPr>
                <w:rFonts w:eastAsia="Arial Unicode MS" w:cs="Arial"/>
              </w:rPr>
            </w:pPr>
            <w:r>
              <w:rPr>
                <w:rFonts w:eastAsia="Arial Unicode MS" w:cs="Arial"/>
              </w:rPr>
              <w:t>17</w:t>
            </w:r>
          </w:p>
        </w:tc>
        <w:tc>
          <w:tcPr>
            <w:tcW w:w="1276" w:type="dxa"/>
            <w:tcBorders>
              <w:top w:val="dotted" w:sz="4" w:space="0" w:color="auto"/>
              <w:bottom w:val="dotted" w:sz="4" w:space="0" w:color="auto"/>
            </w:tcBorders>
            <w:shd w:val="clear" w:color="auto" w:fill="auto"/>
          </w:tcPr>
          <w:p w14:paraId="5119BF18" w14:textId="77777777" w:rsidR="00FA3FF1" w:rsidRPr="00262071" w:rsidRDefault="00325EDD" w:rsidP="007F7DD5">
            <w:pPr>
              <w:jc w:val="right"/>
              <w:rPr>
                <w:rFonts w:eastAsia="Arial Unicode MS" w:cs="Arial"/>
              </w:rPr>
            </w:pPr>
            <w:r>
              <w:rPr>
                <w:rFonts w:eastAsia="Arial Unicode MS" w:cs="Arial"/>
              </w:rPr>
              <w:t>1.040.000</w:t>
            </w:r>
          </w:p>
        </w:tc>
      </w:tr>
      <w:tr w:rsidR="00FA3FF1" w:rsidRPr="00262071" w14:paraId="56ABD9E8" w14:textId="77777777" w:rsidTr="00096C7E">
        <w:tc>
          <w:tcPr>
            <w:tcW w:w="2835" w:type="dxa"/>
            <w:tcBorders>
              <w:top w:val="dotted" w:sz="4" w:space="0" w:color="auto"/>
              <w:bottom w:val="dotted" w:sz="4" w:space="0" w:color="auto"/>
            </w:tcBorders>
          </w:tcPr>
          <w:p w14:paraId="114A403C" w14:textId="77777777" w:rsidR="00FA3FF1" w:rsidRPr="00262071" w:rsidRDefault="00FA3FF1" w:rsidP="007F7DD5">
            <w:pPr>
              <w:rPr>
                <w:rFonts w:eastAsia="Arial Unicode MS" w:cs="Arial"/>
              </w:rPr>
            </w:pPr>
            <w:r w:rsidRPr="00262071">
              <w:rPr>
                <w:rFonts w:eastAsia="Arial Unicode MS" w:cs="Arial"/>
              </w:rPr>
              <w:t>Recrutement ASBL</w:t>
            </w:r>
          </w:p>
        </w:tc>
        <w:tc>
          <w:tcPr>
            <w:tcW w:w="1134" w:type="dxa"/>
            <w:tcBorders>
              <w:top w:val="dotted" w:sz="4" w:space="0" w:color="auto"/>
              <w:bottom w:val="dotted" w:sz="4" w:space="0" w:color="auto"/>
            </w:tcBorders>
            <w:shd w:val="clear" w:color="auto" w:fill="auto"/>
          </w:tcPr>
          <w:p w14:paraId="688F0AD2" w14:textId="77777777" w:rsidR="00FA3FF1" w:rsidRPr="00262071" w:rsidRDefault="00325EDD" w:rsidP="007F7DD5">
            <w:pPr>
              <w:jc w:val="center"/>
              <w:rPr>
                <w:rFonts w:eastAsia="Arial Unicode MS" w:cs="Arial"/>
              </w:rPr>
            </w:pPr>
            <w:r>
              <w:rPr>
                <w:rFonts w:eastAsia="Arial Unicode MS" w:cs="Arial"/>
              </w:rPr>
              <w:t>5</w:t>
            </w:r>
          </w:p>
        </w:tc>
        <w:tc>
          <w:tcPr>
            <w:tcW w:w="993" w:type="dxa"/>
            <w:tcBorders>
              <w:top w:val="dotted" w:sz="4" w:space="0" w:color="auto"/>
              <w:bottom w:val="dotted" w:sz="4" w:space="0" w:color="auto"/>
            </w:tcBorders>
            <w:shd w:val="clear" w:color="auto" w:fill="auto"/>
          </w:tcPr>
          <w:p w14:paraId="529F1000" w14:textId="77777777" w:rsidR="00FA3FF1" w:rsidRPr="00262071" w:rsidRDefault="00325EDD" w:rsidP="007F7DD5">
            <w:pPr>
              <w:jc w:val="center"/>
              <w:rPr>
                <w:rFonts w:eastAsia="Arial Unicode MS" w:cs="Arial"/>
              </w:rPr>
            </w:pPr>
            <w:r>
              <w:rPr>
                <w:rFonts w:eastAsia="Arial Unicode MS" w:cs="Arial"/>
              </w:rPr>
              <w:t>2</w:t>
            </w:r>
          </w:p>
        </w:tc>
        <w:tc>
          <w:tcPr>
            <w:tcW w:w="1275" w:type="dxa"/>
            <w:tcBorders>
              <w:top w:val="dotted" w:sz="4" w:space="0" w:color="auto"/>
              <w:bottom w:val="dotted" w:sz="4" w:space="0" w:color="auto"/>
            </w:tcBorders>
          </w:tcPr>
          <w:p w14:paraId="3B35B78D" w14:textId="77777777" w:rsidR="00FA3FF1" w:rsidRPr="00262071" w:rsidRDefault="00325EDD" w:rsidP="007F7DD5">
            <w:pPr>
              <w:jc w:val="center"/>
              <w:rPr>
                <w:rFonts w:eastAsia="Arial Unicode MS" w:cs="Arial"/>
              </w:rPr>
            </w:pPr>
            <w:r>
              <w:rPr>
                <w:rFonts w:eastAsia="Arial Unicode MS" w:cs="Arial"/>
              </w:rPr>
              <w:t>2</w:t>
            </w:r>
          </w:p>
        </w:tc>
        <w:tc>
          <w:tcPr>
            <w:tcW w:w="1418" w:type="dxa"/>
            <w:tcBorders>
              <w:top w:val="dotted" w:sz="4" w:space="0" w:color="auto"/>
              <w:bottom w:val="dotted" w:sz="4" w:space="0" w:color="auto"/>
            </w:tcBorders>
          </w:tcPr>
          <w:p w14:paraId="16CF771D" w14:textId="77777777" w:rsidR="00FA3FF1" w:rsidRPr="00262071" w:rsidRDefault="00325EDD"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301953AD" w14:textId="77777777" w:rsidR="00FA3FF1" w:rsidRPr="00262071" w:rsidRDefault="00325EDD" w:rsidP="007F7DD5">
            <w:pPr>
              <w:jc w:val="right"/>
              <w:rPr>
                <w:rFonts w:eastAsia="Arial Unicode MS" w:cs="Arial"/>
              </w:rPr>
            </w:pPr>
            <w:r>
              <w:rPr>
                <w:rFonts w:eastAsia="Arial Unicode MS" w:cs="Arial"/>
              </w:rPr>
              <w:t>160.000</w:t>
            </w:r>
          </w:p>
        </w:tc>
      </w:tr>
      <w:tr w:rsidR="00FA3FF1" w:rsidRPr="00262071" w14:paraId="2439A939" w14:textId="77777777" w:rsidTr="00096C7E">
        <w:tc>
          <w:tcPr>
            <w:tcW w:w="2835" w:type="dxa"/>
            <w:tcBorders>
              <w:top w:val="dotted" w:sz="4" w:space="0" w:color="auto"/>
              <w:bottom w:val="dotted" w:sz="4" w:space="0" w:color="auto"/>
            </w:tcBorders>
          </w:tcPr>
          <w:p w14:paraId="19D36CC1" w14:textId="77777777" w:rsidR="00FA3FF1" w:rsidRPr="00262071" w:rsidRDefault="00FA3FF1" w:rsidP="007F7DD5">
            <w:pPr>
              <w:rPr>
                <w:rFonts w:eastAsia="Arial Unicode MS" w:cs="Arial"/>
              </w:rPr>
            </w:pPr>
            <w:r w:rsidRPr="00262071">
              <w:rPr>
                <w:rFonts w:eastAsia="Arial Unicode MS" w:cs="Arial"/>
              </w:rPr>
              <w:t>Petite enfance</w:t>
            </w:r>
          </w:p>
        </w:tc>
        <w:tc>
          <w:tcPr>
            <w:tcW w:w="1134" w:type="dxa"/>
            <w:tcBorders>
              <w:top w:val="dotted" w:sz="4" w:space="0" w:color="auto"/>
              <w:bottom w:val="dotted" w:sz="4" w:space="0" w:color="auto"/>
            </w:tcBorders>
            <w:shd w:val="clear" w:color="auto" w:fill="auto"/>
          </w:tcPr>
          <w:p w14:paraId="5EFFE8ED" w14:textId="77777777" w:rsidR="00FA3FF1" w:rsidRPr="00262071" w:rsidRDefault="00325EDD" w:rsidP="007F7DD5">
            <w:pPr>
              <w:jc w:val="center"/>
              <w:rPr>
                <w:rFonts w:eastAsia="Arial Unicode MS" w:cs="Arial"/>
              </w:rPr>
            </w:pPr>
            <w:r>
              <w:rPr>
                <w:rFonts w:eastAsia="Arial Unicode MS" w:cs="Arial"/>
              </w:rPr>
              <w:t>76</w:t>
            </w:r>
          </w:p>
        </w:tc>
        <w:tc>
          <w:tcPr>
            <w:tcW w:w="993" w:type="dxa"/>
            <w:tcBorders>
              <w:top w:val="dotted" w:sz="4" w:space="0" w:color="auto"/>
              <w:bottom w:val="dotted" w:sz="4" w:space="0" w:color="auto"/>
            </w:tcBorders>
            <w:shd w:val="clear" w:color="auto" w:fill="auto"/>
          </w:tcPr>
          <w:p w14:paraId="1A97AA83" w14:textId="77777777" w:rsidR="00FA3FF1" w:rsidRPr="00262071" w:rsidRDefault="00325EDD" w:rsidP="007F7DD5">
            <w:pPr>
              <w:jc w:val="center"/>
              <w:rPr>
                <w:rFonts w:eastAsia="Arial Unicode MS" w:cs="Arial"/>
              </w:rPr>
            </w:pPr>
            <w:r>
              <w:rPr>
                <w:rFonts w:eastAsia="Arial Unicode MS" w:cs="Arial"/>
              </w:rPr>
              <w:t>61</w:t>
            </w:r>
          </w:p>
        </w:tc>
        <w:tc>
          <w:tcPr>
            <w:tcW w:w="1275" w:type="dxa"/>
            <w:tcBorders>
              <w:top w:val="dotted" w:sz="4" w:space="0" w:color="auto"/>
              <w:bottom w:val="dotted" w:sz="4" w:space="0" w:color="auto"/>
            </w:tcBorders>
          </w:tcPr>
          <w:p w14:paraId="477511F8" w14:textId="77777777" w:rsidR="00FA3FF1" w:rsidRPr="00262071" w:rsidRDefault="00325EDD" w:rsidP="007F7DD5">
            <w:pPr>
              <w:jc w:val="center"/>
              <w:rPr>
                <w:rFonts w:eastAsia="Arial Unicode MS" w:cs="Arial"/>
              </w:rPr>
            </w:pPr>
            <w:r>
              <w:rPr>
                <w:rFonts w:eastAsia="Arial Unicode MS" w:cs="Arial"/>
              </w:rPr>
              <w:t>49</w:t>
            </w:r>
          </w:p>
        </w:tc>
        <w:tc>
          <w:tcPr>
            <w:tcW w:w="1418" w:type="dxa"/>
            <w:tcBorders>
              <w:top w:val="dotted" w:sz="4" w:space="0" w:color="auto"/>
              <w:bottom w:val="dotted" w:sz="4" w:space="0" w:color="auto"/>
            </w:tcBorders>
            <w:shd w:val="clear" w:color="auto" w:fill="auto"/>
          </w:tcPr>
          <w:p w14:paraId="713F41A4" w14:textId="77777777" w:rsidR="00FA3FF1" w:rsidRPr="00262071" w:rsidRDefault="00325EDD" w:rsidP="007F7DD5">
            <w:pPr>
              <w:jc w:val="center"/>
              <w:rPr>
                <w:rFonts w:eastAsia="Arial Unicode MS" w:cs="Arial"/>
              </w:rPr>
            </w:pPr>
            <w:r>
              <w:rPr>
                <w:rFonts w:eastAsia="Arial Unicode MS" w:cs="Arial"/>
              </w:rPr>
              <w:t>12</w:t>
            </w:r>
          </w:p>
        </w:tc>
        <w:tc>
          <w:tcPr>
            <w:tcW w:w="1276" w:type="dxa"/>
            <w:tcBorders>
              <w:top w:val="dotted" w:sz="4" w:space="0" w:color="auto"/>
              <w:bottom w:val="dotted" w:sz="4" w:space="0" w:color="auto"/>
            </w:tcBorders>
            <w:shd w:val="clear" w:color="auto" w:fill="auto"/>
          </w:tcPr>
          <w:p w14:paraId="22C615A9" w14:textId="77777777" w:rsidR="00FA3FF1" w:rsidRPr="00262071" w:rsidRDefault="00325EDD" w:rsidP="007F7DD5">
            <w:pPr>
              <w:jc w:val="right"/>
              <w:rPr>
                <w:rFonts w:eastAsia="Arial Unicode MS" w:cs="Arial"/>
              </w:rPr>
            </w:pPr>
            <w:r>
              <w:rPr>
                <w:rFonts w:eastAsia="Arial Unicode MS" w:cs="Arial"/>
              </w:rPr>
              <w:t>213.000</w:t>
            </w:r>
          </w:p>
        </w:tc>
      </w:tr>
      <w:tr w:rsidR="00FA3FF1" w:rsidRPr="00D60F63" w14:paraId="0B12EC51" w14:textId="77777777" w:rsidTr="00096C7E">
        <w:tc>
          <w:tcPr>
            <w:tcW w:w="2835" w:type="dxa"/>
            <w:tcBorders>
              <w:top w:val="single" w:sz="18" w:space="0" w:color="auto"/>
              <w:bottom w:val="single" w:sz="18" w:space="0" w:color="auto"/>
            </w:tcBorders>
          </w:tcPr>
          <w:p w14:paraId="531DA55B" w14:textId="77777777" w:rsidR="00FA3FF1" w:rsidRPr="00D60F63" w:rsidRDefault="00FA3FF1" w:rsidP="007F7DD5">
            <w:pPr>
              <w:rPr>
                <w:rFonts w:eastAsia="Arial Unicode MS" w:cs="Arial"/>
                <w:bCs/>
              </w:rPr>
            </w:pPr>
            <w:r w:rsidRPr="00D60F63">
              <w:rPr>
                <w:rFonts w:eastAsia="Arial Unicode MS" w:cs="Arial"/>
                <w:bCs/>
              </w:rPr>
              <w:t>TOTAL</w:t>
            </w:r>
          </w:p>
        </w:tc>
        <w:tc>
          <w:tcPr>
            <w:tcW w:w="1134" w:type="dxa"/>
            <w:tcBorders>
              <w:top w:val="single" w:sz="18" w:space="0" w:color="auto"/>
              <w:bottom w:val="single" w:sz="18" w:space="0" w:color="auto"/>
            </w:tcBorders>
            <w:shd w:val="clear" w:color="auto" w:fill="auto"/>
          </w:tcPr>
          <w:p w14:paraId="335D6FFF" w14:textId="77777777" w:rsidR="004D11BA" w:rsidRPr="00D60F63" w:rsidRDefault="004D11BA" w:rsidP="004D11BA">
            <w:pPr>
              <w:jc w:val="center"/>
              <w:rPr>
                <w:rFonts w:eastAsia="Arial Unicode MS" w:cs="Arial"/>
                <w:bCs/>
              </w:rPr>
            </w:pPr>
            <w:r>
              <w:rPr>
                <w:rFonts w:eastAsia="Arial Unicode MS" w:cs="Arial"/>
                <w:bCs/>
              </w:rPr>
              <w:t>2507</w:t>
            </w:r>
          </w:p>
        </w:tc>
        <w:tc>
          <w:tcPr>
            <w:tcW w:w="993" w:type="dxa"/>
            <w:tcBorders>
              <w:top w:val="single" w:sz="18" w:space="0" w:color="auto"/>
              <w:bottom w:val="single" w:sz="18" w:space="0" w:color="auto"/>
            </w:tcBorders>
            <w:shd w:val="clear" w:color="auto" w:fill="auto"/>
          </w:tcPr>
          <w:p w14:paraId="229E5E9C" w14:textId="77777777" w:rsidR="00FA3FF1" w:rsidRPr="00D60F63" w:rsidRDefault="00325EDD" w:rsidP="007F7DD5">
            <w:pPr>
              <w:jc w:val="center"/>
              <w:rPr>
                <w:rFonts w:eastAsia="Arial Unicode MS" w:cs="Arial"/>
                <w:bCs/>
              </w:rPr>
            </w:pPr>
            <w:r>
              <w:rPr>
                <w:rFonts w:eastAsia="Arial Unicode MS" w:cs="Arial"/>
                <w:bCs/>
              </w:rPr>
              <w:t>2279</w:t>
            </w:r>
          </w:p>
        </w:tc>
        <w:tc>
          <w:tcPr>
            <w:tcW w:w="1275" w:type="dxa"/>
            <w:tcBorders>
              <w:top w:val="single" w:sz="18" w:space="0" w:color="auto"/>
              <w:bottom w:val="single" w:sz="18" w:space="0" w:color="auto"/>
            </w:tcBorders>
          </w:tcPr>
          <w:p w14:paraId="30A03966" w14:textId="77777777" w:rsidR="00325EDD" w:rsidRPr="00D60F63" w:rsidRDefault="00021740" w:rsidP="00325EDD">
            <w:pPr>
              <w:jc w:val="center"/>
              <w:rPr>
                <w:rFonts w:eastAsia="Arial Unicode MS" w:cs="Arial"/>
                <w:bCs/>
              </w:rPr>
            </w:pPr>
            <w:r>
              <w:rPr>
                <w:rFonts w:eastAsia="Arial Unicode MS" w:cs="Arial"/>
                <w:bCs/>
              </w:rPr>
              <w:t>1809</w:t>
            </w:r>
          </w:p>
        </w:tc>
        <w:tc>
          <w:tcPr>
            <w:tcW w:w="1418" w:type="dxa"/>
            <w:tcBorders>
              <w:top w:val="single" w:sz="18" w:space="0" w:color="auto"/>
              <w:bottom w:val="single" w:sz="18" w:space="0" w:color="auto"/>
            </w:tcBorders>
          </w:tcPr>
          <w:p w14:paraId="0DC6D6C6" w14:textId="77777777" w:rsidR="00FA3FF1" w:rsidRPr="00D60F63" w:rsidRDefault="00B71186" w:rsidP="007F7DD5">
            <w:pPr>
              <w:jc w:val="center"/>
              <w:rPr>
                <w:rFonts w:eastAsia="Arial Unicode MS" w:cs="Arial"/>
                <w:bCs/>
              </w:rPr>
            </w:pPr>
            <w:r>
              <w:rPr>
                <w:rFonts w:eastAsia="Arial Unicode MS" w:cs="Arial"/>
                <w:bCs/>
              </w:rPr>
              <w:t>470</w:t>
            </w:r>
          </w:p>
        </w:tc>
        <w:tc>
          <w:tcPr>
            <w:tcW w:w="1276" w:type="dxa"/>
            <w:tcBorders>
              <w:top w:val="single" w:sz="18" w:space="0" w:color="auto"/>
              <w:bottom w:val="single" w:sz="18" w:space="0" w:color="auto"/>
            </w:tcBorders>
            <w:shd w:val="clear" w:color="auto" w:fill="auto"/>
          </w:tcPr>
          <w:p w14:paraId="202A1FCE" w14:textId="77777777" w:rsidR="00FA3FF1" w:rsidRPr="00D60F63" w:rsidRDefault="00B71186" w:rsidP="007F7DD5">
            <w:pPr>
              <w:jc w:val="right"/>
              <w:rPr>
                <w:rFonts w:eastAsia="Arial Unicode MS" w:cs="Arial"/>
                <w:bCs/>
              </w:rPr>
            </w:pPr>
            <w:r>
              <w:rPr>
                <w:rFonts w:eastAsia="Arial Unicode MS" w:cs="Arial"/>
                <w:bCs/>
              </w:rPr>
              <w:t>10.222.039,08</w:t>
            </w:r>
          </w:p>
        </w:tc>
      </w:tr>
    </w:tbl>
    <w:p w14:paraId="7000A807" w14:textId="77777777" w:rsidR="00FA3FF1" w:rsidRDefault="00FA3FF1" w:rsidP="00491FCD">
      <w:pPr>
        <w:jc w:val="center"/>
        <w:rPr>
          <w:rFonts w:eastAsia="Arial Unicode MS" w:cs="Arial"/>
          <w:b/>
          <w:sz w:val="24"/>
          <w:szCs w:val="24"/>
        </w:rPr>
      </w:pPr>
      <w:r>
        <w:rPr>
          <w:rFonts w:cs="Arial"/>
          <w:noProof/>
          <w:lang w:eastAsia="fr-BE"/>
        </w:rPr>
        <w:drawing>
          <wp:inline distT="0" distB="0" distL="0" distR="0" wp14:anchorId="00B474AE" wp14:editId="25ECEAFD">
            <wp:extent cx="5886450" cy="1609725"/>
            <wp:effectExtent l="0" t="0" r="0" b="0"/>
            <wp:docPr id="13" name="Graphique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3B151E" w14:textId="77777777" w:rsidR="00FA3FF1" w:rsidRPr="002A6EC3" w:rsidRDefault="00FA3FF1" w:rsidP="00FA3FF1">
      <w:pPr>
        <w:pStyle w:val="Titre3"/>
        <w:rPr>
          <w:rFonts w:eastAsia="Arial Unicode MS"/>
        </w:rPr>
      </w:pPr>
      <w:r>
        <w:rPr>
          <w:rFonts w:eastAsia="Arial Unicode MS"/>
        </w:rPr>
        <w:lastRenderedPageBreak/>
        <w:t>Les types d’aides</w:t>
      </w:r>
    </w:p>
    <w:p w14:paraId="49A61469" w14:textId="77777777" w:rsidR="00FA3FF1" w:rsidRDefault="00FA3FF1" w:rsidP="00FA3FF1">
      <w:pPr>
        <w:pStyle w:val="Titre4"/>
        <w:rPr>
          <w:rFonts w:eastAsia="Arial Unicode MS"/>
        </w:rPr>
      </w:pPr>
      <w:r w:rsidRPr="00262071">
        <w:rPr>
          <w:rFonts w:eastAsia="Arial Unicode MS"/>
        </w:rPr>
        <w:t>Pré-activité</w:t>
      </w:r>
    </w:p>
    <w:p w14:paraId="0369EB4C" w14:textId="77777777" w:rsidR="002F4D9A" w:rsidRPr="002F4D9A" w:rsidRDefault="00806BDD" w:rsidP="00FA3FF1">
      <w:pPr>
        <w:rPr>
          <w:rFonts w:eastAsia="Arial Unicode MS" w:cs="Arial"/>
        </w:rPr>
      </w:pPr>
      <w:r>
        <w:rPr>
          <w:rFonts w:eastAsia="Arial Unicode MS" w:cs="Arial"/>
        </w:rPr>
        <w:t>Il s’agit d’un subside couvrant jusqu’à 50% des frais de consultance visant à obtenir des conseils ou à réaliser une étude en vue de créer (ou reprendre) une PME bruxelloise.</w:t>
      </w:r>
    </w:p>
    <w:p w14:paraId="11746C59" w14:textId="77777777" w:rsidR="00FA3FF1" w:rsidRPr="00262071" w:rsidRDefault="00FA3FF1" w:rsidP="00FA3FF1">
      <w:pPr>
        <w:rPr>
          <w:rFonts w:eastAsia="Arial Unicode MS" w:cs="Arial"/>
          <w:b/>
          <w:i/>
        </w:rPr>
      </w:pPr>
      <w:r w:rsidRPr="00262071">
        <w:rPr>
          <w:rFonts w:eastAsia="Arial Unicode MS" w:cs="Arial"/>
          <w:b/>
          <w:i/>
        </w:rPr>
        <w:t>Bases légales</w:t>
      </w:r>
    </w:p>
    <w:p w14:paraId="3A6D4C7A"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0E1BBC5D"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(MB du 14/08/2008) relatif aux aides de pré-activité et pour le recours aux études et aux services de conseils extérieurs.</w:t>
      </w:r>
    </w:p>
    <w:p w14:paraId="5915FFAB" w14:textId="77777777" w:rsidR="00FA3FF1" w:rsidRPr="00262071" w:rsidRDefault="00FA3FF1" w:rsidP="00FA3FF1">
      <w:pPr>
        <w:rPr>
          <w:rFonts w:eastAsia="Arial Unicode MS" w:cs="Arial"/>
          <w:b/>
          <w:i/>
        </w:rPr>
      </w:pPr>
      <w:r w:rsidRPr="00D31405">
        <w:rPr>
          <w:rFonts w:eastAsia="Arial Unicode MS" w:cs="Arial"/>
          <w:b/>
          <w:i/>
        </w:rPr>
        <w:t>Constatations</w:t>
      </w:r>
    </w:p>
    <w:p w14:paraId="3BFE32B1" w14:textId="77777777" w:rsidR="00FA3FF1" w:rsidRDefault="00FA3FF1" w:rsidP="00FA3FF1">
      <w:pPr>
        <w:rPr>
          <w:rFonts w:eastAsia="Arial Unicode MS" w:cs="Arial"/>
        </w:rPr>
      </w:pPr>
      <w:r w:rsidRPr="00262071">
        <w:rPr>
          <w:rFonts w:eastAsia="Arial Unicode MS" w:cs="Arial"/>
        </w:rPr>
        <w:t xml:space="preserve">En </w:t>
      </w:r>
      <w:r w:rsidR="00D31405">
        <w:rPr>
          <w:rFonts w:eastAsia="Arial Unicode MS" w:cs="Arial"/>
        </w:rPr>
        <w:t>2017</w:t>
      </w:r>
      <w:r w:rsidRPr="00262071">
        <w:rPr>
          <w:rFonts w:eastAsia="Arial Unicode MS" w:cs="Arial"/>
        </w:rPr>
        <w:t xml:space="preserve">, nous avons traité </w:t>
      </w:r>
      <w:r w:rsidR="00CE5DE8">
        <w:rPr>
          <w:rFonts w:eastAsia="Arial Unicode MS" w:cs="Arial"/>
        </w:rPr>
        <w:t>22</w:t>
      </w:r>
      <w:r w:rsidRPr="00262071">
        <w:rPr>
          <w:rFonts w:eastAsia="Arial Unicode MS" w:cs="Arial"/>
        </w:rPr>
        <w:t xml:space="preserve"> demandes: </w:t>
      </w:r>
      <w:r w:rsidR="00CE5DE8">
        <w:rPr>
          <w:rFonts w:eastAsia="Arial Unicode MS" w:cs="Arial"/>
        </w:rPr>
        <w:t>18</w:t>
      </w:r>
      <w:r w:rsidRPr="00262071">
        <w:rPr>
          <w:rFonts w:eastAsia="Arial Unicode MS" w:cs="Arial"/>
        </w:rPr>
        <w:t xml:space="preserve"> ont fait l’objet d’une décision positive</w:t>
      </w:r>
      <w:r w:rsidR="00E05418">
        <w:rPr>
          <w:rFonts w:eastAsia="Arial Unicode MS" w:cs="Arial"/>
        </w:rPr>
        <w:t xml:space="preserve"> (81,82%)</w:t>
      </w:r>
      <w:r w:rsidRPr="00262071">
        <w:rPr>
          <w:rFonts w:eastAsia="Arial Unicode MS" w:cs="Arial"/>
        </w:rPr>
        <w:t xml:space="preserve">. Les missions confiées aux consultants visaient principalement </w:t>
      </w:r>
      <w:r>
        <w:rPr>
          <w:rFonts w:eastAsia="Arial Unicode MS" w:cs="Arial"/>
        </w:rPr>
        <w:t xml:space="preserve">à résoudre </w:t>
      </w:r>
      <w:r w:rsidRPr="00262071">
        <w:rPr>
          <w:rFonts w:eastAsia="Arial Unicode MS" w:cs="Arial"/>
        </w:rPr>
        <w:t>des problèmes</w:t>
      </w:r>
      <w:r>
        <w:rPr>
          <w:rFonts w:eastAsia="Arial Unicode MS" w:cs="Arial"/>
        </w:rPr>
        <w:t xml:space="preserve"> marketing (</w:t>
      </w:r>
      <w:r w:rsidR="00CE5DE8">
        <w:rPr>
          <w:rFonts w:eastAsia="Arial Unicode MS" w:cs="Arial"/>
        </w:rPr>
        <w:t>5 dossiers) et</w:t>
      </w:r>
      <w:r>
        <w:rPr>
          <w:rFonts w:eastAsia="Arial Unicode MS" w:cs="Arial"/>
        </w:rPr>
        <w:t xml:space="preserve"> juridiques </w:t>
      </w:r>
      <w:r w:rsidRPr="00262071">
        <w:rPr>
          <w:rFonts w:eastAsia="Arial Unicode MS" w:cs="Arial"/>
        </w:rPr>
        <w:t>(</w:t>
      </w:r>
      <w:r w:rsidR="00CE5DE8">
        <w:rPr>
          <w:rFonts w:eastAsia="Arial Unicode MS" w:cs="Arial"/>
        </w:rPr>
        <w:t>5</w:t>
      </w:r>
      <w:r w:rsidRPr="00262071">
        <w:rPr>
          <w:rFonts w:eastAsia="Arial Unicode MS" w:cs="Arial"/>
        </w:rPr>
        <w:t xml:space="preserve"> dossiers).</w:t>
      </w:r>
    </w:p>
    <w:p w14:paraId="21EB7589" w14:textId="77777777" w:rsidR="00806BDD" w:rsidRDefault="00806BDD" w:rsidP="00FA3FF1">
      <w:pPr>
        <w:rPr>
          <w:rFonts w:eastAsia="Arial Unicode MS" w:cs="Arial"/>
        </w:rPr>
      </w:pPr>
      <w:r>
        <w:rPr>
          <w:rFonts w:eastAsia="Arial Unicode MS" w:cs="Arial"/>
        </w:rPr>
        <w:t xml:space="preserve">Comparativement à l’année précédente, on observe une </w:t>
      </w:r>
      <w:r w:rsidR="001516DF">
        <w:rPr>
          <w:rFonts w:eastAsia="Arial Unicode MS" w:cs="Arial"/>
        </w:rPr>
        <w:t xml:space="preserve">décroissance </w:t>
      </w:r>
      <w:r w:rsidR="00CE5DE8">
        <w:rPr>
          <w:rFonts w:eastAsia="Arial Unicode MS" w:cs="Arial"/>
        </w:rPr>
        <w:t>significative</w:t>
      </w:r>
      <w:r w:rsidR="001516DF">
        <w:rPr>
          <w:rFonts w:eastAsia="Arial Unicode MS" w:cs="Arial"/>
        </w:rPr>
        <w:t xml:space="preserve"> de </w:t>
      </w:r>
      <w:r w:rsidR="00CE5DE8">
        <w:rPr>
          <w:rFonts w:eastAsia="Arial Unicode MS" w:cs="Arial"/>
        </w:rPr>
        <w:t>38,89</w:t>
      </w:r>
      <w:r w:rsidR="001516DF">
        <w:rPr>
          <w:rFonts w:eastAsia="Arial Unicode MS" w:cs="Arial"/>
        </w:rPr>
        <w:t>% de dossiers traités (</w:t>
      </w:r>
      <w:r w:rsidR="00CE5DE8">
        <w:rPr>
          <w:rFonts w:eastAsia="Arial Unicode MS" w:cs="Arial"/>
        </w:rPr>
        <w:t>36</w:t>
      </w:r>
      <w:r w:rsidR="001516DF">
        <w:rPr>
          <w:rFonts w:eastAsia="Arial Unicode MS" w:cs="Arial"/>
        </w:rPr>
        <w:t>)</w:t>
      </w:r>
      <w:r w:rsidR="00E05418">
        <w:rPr>
          <w:rFonts w:eastAsia="Arial Unicode MS" w:cs="Arial"/>
        </w:rPr>
        <w:t>. C</w:t>
      </w:r>
      <w:r w:rsidR="00CE5DE8">
        <w:rPr>
          <w:rFonts w:eastAsia="Arial Unicode MS" w:cs="Arial"/>
        </w:rPr>
        <w:t>e</w:t>
      </w:r>
      <w:r w:rsidR="00E05418">
        <w:rPr>
          <w:rFonts w:eastAsia="Arial Unicode MS" w:cs="Arial"/>
        </w:rPr>
        <w:t>tte évolution</w:t>
      </w:r>
      <w:r w:rsidR="00CE5DE8">
        <w:rPr>
          <w:rFonts w:eastAsia="Arial Unicode MS" w:cs="Arial"/>
        </w:rPr>
        <w:t xml:space="preserve"> s’explique par la diminution du nombre de demandes introduites auprès de nos services (-26,47%)</w:t>
      </w:r>
      <w:r w:rsidR="001516DF">
        <w:rPr>
          <w:rFonts w:eastAsia="Arial Unicode MS" w:cs="Arial"/>
        </w:rPr>
        <w:t>.</w:t>
      </w:r>
      <w:r w:rsidR="00E05418">
        <w:rPr>
          <w:rFonts w:eastAsia="Arial Unicode MS" w:cs="Arial"/>
        </w:rPr>
        <w:t xml:space="preserve"> Le taux de refus est stable (environ 19%).</w:t>
      </w:r>
    </w:p>
    <w:p w14:paraId="6108DC50" w14:textId="77777777" w:rsidR="00FA3FF1" w:rsidRDefault="00FA3FF1" w:rsidP="0075776B">
      <w:pPr>
        <w:pStyle w:val="Titre4"/>
        <w:rPr>
          <w:rFonts w:eastAsia="Arial Unicode MS"/>
        </w:rPr>
      </w:pPr>
      <w:r w:rsidRPr="00262071">
        <w:rPr>
          <w:rFonts w:eastAsia="Arial Unicode MS"/>
        </w:rPr>
        <w:t>Conseils et études</w:t>
      </w:r>
    </w:p>
    <w:p w14:paraId="2BF8D735" w14:textId="77777777" w:rsidR="00806BDD" w:rsidRDefault="00806BDD" w:rsidP="00FA3FF1">
      <w:pPr>
        <w:rPr>
          <w:rFonts w:eastAsia="Arial Unicode MS" w:cs="Arial"/>
        </w:rPr>
      </w:pPr>
      <w:r>
        <w:rPr>
          <w:rFonts w:eastAsia="Arial Unicode MS" w:cs="Arial"/>
        </w:rPr>
        <w:t>Ce subside couvre jusqu’à 50% des frais de consultance relatifs à :</w:t>
      </w:r>
    </w:p>
    <w:p w14:paraId="0464E68C" w14:textId="77777777" w:rsidR="00806BDD" w:rsidRDefault="00806BDD" w:rsidP="00806BDD">
      <w:pPr>
        <w:pStyle w:val="Paragraphedeliste"/>
        <w:numPr>
          <w:ilvl w:val="0"/>
          <w:numId w:val="3"/>
        </w:numPr>
        <w:rPr>
          <w:rFonts w:eastAsia="Arial Unicode MS" w:cs="Arial"/>
        </w:rPr>
      </w:pPr>
      <w:r>
        <w:rPr>
          <w:rFonts w:eastAsia="Arial Unicode MS" w:cs="Arial"/>
        </w:rPr>
        <w:t>Un conseil extérieur visant à résoudre un problème ponctuel de gestion ou à améliorer le fonctionnement ou la compétitivité d’une PME ;</w:t>
      </w:r>
    </w:p>
    <w:p w14:paraId="2DED379E" w14:textId="77777777" w:rsidR="00806BDD" w:rsidRPr="00806BDD" w:rsidRDefault="00806BDD" w:rsidP="00806BDD">
      <w:pPr>
        <w:pStyle w:val="Paragraphedeliste"/>
        <w:numPr>
          <w:ilvl w:val="0"/>
          <w:numId w:val="3"/>
        </w:numPr>
        <w:rPr>
          <w:rFonts w:eastAsia="Arial Unicode MS" w:cs="Arial"/>
        </w:rPr>
      </w:pPr>
      <w:r>
        <w:rPr>
          <w:rFonts w:eastAsia="Arial Unicode MS" w:cs="Arial"/>
        </w:rPr>
        <w:t>Une étude à caractère technique, économique ou financier permettant la prise d’une décision d’investissement par une PME.</w:t>
      </w:r>
    </w:p>
    <w:p w14:paraId="007B6911" w14:textId="77777777" w:rsidR="00FA3FF1" w:rsidRPr="00262071" w:rsidRDefault="00FA3FF1" w:rsidP="00FA3FF1">
      <w:pPr>
        <w:rPr>
          <w:rFonts w:eastAsia="Arial Unicode MS" w:cs="Arial"/>
          <w:b/>
          <w:i/>
        </w:rPr>
      </w:pPr>
      <w:r w:rsidRPr="00262071">
        <w:rPr>
          <w:rFonts w:eastAsia="Arial Unicode MS" w:cs="Arial"/>
          <w:b/>
          <w:i/>
        </w:rPr>
        <w:t>Bases légales</w:t>
      </w:r>
    </w:p>
    <w:p w14:paraId="197A5B4A"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060CDC83"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(MB du 14/08/2008) relatif aux aides de pré-activité et pour le recours aux études et aux services de conseils extérieurs.</w:t>
      </w:r>
    </w:p>
    <w:p w14:paraId="3674362A" w14:textId="77777777" w:rsidR="00FA3FF1" w:rsidRPr="00262071" w:rsidRDefault="00FA3FF1" w:rsidP="00FA3FF1">
      <w:pPr>
        <w:rPr>
          <w:rFonts w:eastAsia="Arial Unicode MS" w:cs="Arial"/>
          <w:b/>
          <w:i/>
        </w:rPr>
      </w:pPr>
      <w:r w:rsidRPr="00262071">
        <w:rPr>
          <w:rFonts w:eastAsia="Arial Unicode MS" w:cs="Arial"/>
          <w:b/>
          <w:i/>
        </w:rPr>
        <w:t>Constatations</w:t>
      </w:r>
    </w:p>
    <w:p w14:paraId="234EBDAB" w14:textId="77777777" w:rsidR="00FA3FF1" w:rsidRDefault="00C37D31" w:rsidP="00FA3FF1">
      <w:pPr>
        <w:rPr>
          <w:rFonts w:eastAsia="Arial Unicode MS" w:cs="Arial"/>
        </w:rPr>
      </w:pPr>
      <w:r>
        <w:rPr>
          <w:rFonts w:eastAsia="Arial Unicode MS" w:cs="Arial"/>
        </w:rPr>
        <w:t>1.040</w:t>
      </w:r>
      <w:r w:rsidR="00FA3FF1" w:rsidRPr="00262071">
        <w:rPr>
          <w:rFonts w:eastAsia="Arial Unicode MS" w:cs="Arial"/>
        </w:rPr>
        <w:t xml:space="preserve"> dossiers ont été traités en </w:t>
      </w:r>
      <w:r>
        <w:rPr>
          <w:rFonts w:eastAsia="Arial Unicode MS" w:cs="Arial"/>
        </w:rPr>
        <w:t>2017</w:t>
      </w:r>
      <w:r w:rsidR="00FA3FF1" w:rsidRPr="00262071">
        <w:rPr>
          <w:rFonts w:eastAsia="Arial Unicode MS" w:cs="Arial"/>
        </w:rPr>
        <w:t xml:space="preserve">, dont </w:t>
      </w:r>
      <w:r>
        <w:rPr>
          <w:rFonts w:eastAsia="Arial Unicode MS" w:cs="Arial"/>
        </w:rPr>
        <w:t>869</w:t>
      </w:r>
      <w:r w:rsidR="00FA3FF1" w:rsidRPr="00262071">
        <w:rPr>
          <w:rFonts w:eastAsia="Arial Unicode MS" w:cs="Arial"/>
        </w:rPr>
        <w:t xml:space="preserve"> décision</w:t>
      </w:r>
      <w:r w:rsidR="003767B0">
        <w:rPr>
          <w:rFonts w:eastAsia="Arial Unicode MS" w:cs="Arial"/>
        </w:rPr>
        <w:t>s</w:t>
      </w:r>
      <w:r w:rsidR="00FA3FF1" w:rsidRPr="00262071">
        <w:rPr>
          <w:rFonts w:eastAsia="Arial Unicode MS" w:cs="Arial"/>
        </w:rPr>
        <w:t xml:space="preserve"> </w:t>
      </w:r>
      <w:r w:rsidR="00E45FC2">
        <w:rPr>
          <w:rFonts w:eastAsia="Arial Unicode MS" w:cs="Arial"/>
        </w:rPr>
        <w:t>d’octroi</w:t>
      </w:r>
      <w:r w:rsidR="00FA3FF1" w:rsidRPr="00262071">
        <w:rPr>
          <w:rFonts w:eastAsia="Arial Unicode MS" w:cs="Arial"/>
        </w:rPr>
        <w:t xml:space="preserve">, soit </w:t>
      </w:r>
      <w:r>
        <w:rPr>
          <w:rFonts w:eastAsia="Arial Unicode MS" w:cs="Arial"/>
        </w:rPr>
        <w:t>83,56</w:t>
      </w:r>
      <w:r w:rsidR="00806BDD">
        <w:rPr>
          <w:rFonts w:eastAsia="Arial Unicode MS" w:cs="Arial"/>
        </w:rPr>
        <w:t>% des demandes.</w:t>
      </w:r>
    </w:p>
    <w:p w14:paraId="1ECF012B" w14:textId="77777777" w:rsidR="00F878BD" w:rsidRDefault="00806BDD" w:rsidP="001516DF">
      <w:pPr>
        <w:rPr>
          <w:rFonts w:eastAsia="Arial Unicode MS" w:cs="Arial"/>
        </w:rPr>
      </w:pPr>
      <w:r>
        <w:rPr>
          <w:rFonts w:eastAsia="Arial Unicode MS" w:cs="Arial"/>
        </w:rPr>
        <w:t xml:space="preserve">Comparativement à l’année précédente, on observe une </w:t>
      </w:r>
      <w:r w:rsidR="00C37D31">
        <w:rPr>
          <w:rFonts w:eastAsia="Arial Unicode MS" w:cs="Arial"/>
        </w:rPr>
        <w:t>dé</w:t>
      </w:r>
      <w:r>
        <w:rPr>
          <w:rFonts w:eastAsia="Arial Unicode MS" w:cs="Arial"/>
        </w:rPr>
        <w:t xml:space="preserve">croissance de </w:t>
      </w:r>
      <w:r w:rsidR="00C37D31">
        <w:rPr>
          <w:rFonts w:eastAsia="Arial Unicode MS" w:cs="Arial"/>
        </w:rPr>
        <w:t>3,7</w:t>
      </w:r>
      <w:r>
        <w:rPr>
          <w:rFonts w:eastAsia="Arial Unicode MS" w:cs="Arial"/>
        </w:rPr>
        <w:t>% de dossiers traités (</w:t>
      </w:r>
      <w:r w:rsidR="00C37D31">
        <w:rPr>
          <w:rFonts w:eastAsia="Arial Unicode MS" w:cs="Arial"/>
        </w:rPr>
        <w:t>1.080</w:t>
      </w:r>
      <w:r>
        <w:rPr>
          <w:rFonts w:eastAsia="Arial Unicode MS" w:cs="Arial"/>
        </w:rPr>
        <w:t>)</w:t>
      </w:r>
      <w:r w:rsidR="00507105">
        <w:rPr>
          <w:rFonts w:eastAsia="Arial Unicode MS" w:cs="Arial"/>
        </w:rPr>
        <w:t>. Le taux de refus est passé de 21,46% à 16,44%</w:t>
      </w:r>
      <w:r>
        <w:rPr>
          <w:rFonts w:eastAsia="Arial Unicode MS" w:cs="Arial"/>
        </w:rPr>
        <w:t>.</w:t>
      </w:r>
      <w:r w:rsidR="00F878BD">
        <w:rPr>
          <w:rFonts w:eastAsia="Arial Unicode MS" w:cs="Arial"/>
        </w:rPr>
        <w:br w:type="page"/>
      </w:r>
    </w:p>
    <w:p w14:paraId="066CA35E" w14:textId="77777777" w:rsidR="00FA3FF1" w:rsidRPr="00262071" w:rsidRDefault="00FA3FF1" w:rsidP="00FA3FF1">
      <w:pPr>
        <w:rPr>
          <w:rFonts w:eastAsia="Arial Unicode MS" w:cs="Arial"/>
        </w:rPr>
      </w:pPr>
      <w:r w:rsidRPr="00262071">
        <w:rPr>
          <w:rFonts w:eastAsia="Arial Unicode MS" w:cs="Arial"/>
        </w:rPr>
        <w:lastRenderedPageBreak/>
        <w:t>Répartition par type de missions</w:t>
      </w:r>
      <w:r>
        <w:rPr>
          <w:rFonts w:eastAsia="Arial Unicode MS" w:cs="Arial"/>
        </w:rPr>
        <w:t xml:space="preserve"> (sur base du nombre de dossiers octroyés)</w:t>
      </w:r>
      <w:r w:rsidRPr="00262071">
        <w:rPr>
          <w:rFonts w:eastAsia="Arial Unicode MS" w:cs="Arial"/>
        </w:rPr>
        <w:t> :</w:t>
      </w:r>
    </w:p>
    <w:p w14:paraId="10C41156" w14:textId="77777777" w:rsidR="00FA3FF1" w:rsidRPr="00262071" w:rsidRDefault="00FA3FF1" w:rsidP="00FA3FF1">
      <w:pPr>
        <w:rPr>
          <w:rFonts w:eastAsia="Arial Unicode MS" w:cs="Arial"/>
          <w:b/>
          <w:u w:val="single"/>
        </w:rPr>
      </w:pPr>
      <w:r>
        <w:rPr>
          <w:rFonts w:eastAsia="Arial Unicode MS" w:cs="Arial"/>
          <w:noProof/>
          <w:lang w:eastAsia="fr-BE"/>
        </w:rPr>
        <w:drawing>
          <wp:inline distT="0" distB="0" distL="0" distR="0" wp14:anchorId="0CFFB319" wp14:editId="48867420">
            <wp:extent cx="5105400" cy="3086100"/>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62071">
        <w:rPr>
          <w:rFonts w:eastAsia="Arial Unicode MS" w:cs="Arial"/>
          <w:b/>
          <w:u w:val="single"/>
        </w:rPr>
        <w:t xml:space="preserve"> </w:t>
      </w:r>
    </w:p>
    <w:p w14:paraId="4CD9CEF5" w14:textId="77777777" w:rsidR="00FA3FF1" w:rsidRDefault="00FA3FF1" w:rsidP="0075776B">
      <w:pPr>
        <w:pStyle w:val="Titre4"/>
        <w:rPr>
          <w:rFonts w:eastAsia="Arial Unicode MS"/>
        </w:rPr>
      </w:pPr>
      <w:r w:rsidRPr="00262071">
        <w:rPr>
          <w:rFonts w:eastAsia="Arial Unicode MS"/>
        </w:rPr>
        <w:t>Formations externes</w:t>
      </w:r>
    </w:p>
    <w:p w14:paraId="5AE5681E" w14:textId="77777777" w:rsidR="00F878BD" w:rsidRPr="00F878BD" w:rsidRDefault="00F878BD" w:rsidP="00FA3FF1">
      <w:pPr>
        <w:rPr>
          <w:rFonts w:eastAsia="Arial Unicode MS" w:cs="Arial"/>
        </w:rPr>
      </w:pPr>
      <w:r>
        <w:rPr>
          <w:rFonts w:eastAsia="Arial Unicode MS" w:cs="Arial"/>
        </w:rPr>
        <w:t>Il s’agit d’un subside couvrant 50% du coût d’une formation externe visant à améliorer le fonctionnement ou la compétitivité d’une PME, à l’exclusion des thèmes se rapportant à la gestion journalière et des compétences propres à l’activité.</w:t>
      </w:r>
    </w:p>
    <w:p w14:paraId="2DD81BF2" w14:textId="77777777" w:rsidR="00FA3FF1" w:rsidRPr="00262071" w:rsidRDefault="00FA3FF1" w:rsidP="00FA3FF1">
      <w:pPr>
        <w:rPr>
          <w:rFonts w:eastAsia="Arial Unicode MS" w:cs="Arial"/>
          <w:b/>
          <w:i/>
        </w:rPr>
      </w:pPr>
      <w:r w:rsidRPr="00262071">
        <w:rPr>
          <w:rFonts w:eastAsia="Arial Unicode MS" w:cs="Arial"/>
          <w:b/>
          <w:i/>
        </w:rPr>
        <w:t>Bases légales</w:t>
      </w:r>
    </w:p>
    <w:p w14:paraId="56B4CC9C"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711A5143"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(MB du </w:t>
      </w:r>
      <w:r>
        <w:rPr>
          <w:rFonts w:eastAsia="Arial Unicode MS" w:cs="Arial"/>
        </w:rPr>
        <w:t>30</w:t>
      </w:r>
      <w:r w:rsidRPr="00262071">
        <w:rPr>
          <w:rFonts w:eastAsia="Arial Unicode MS" w:cs="Arial"/>
        </w:rPr>
        <w:t>/0</w:t>
      </w:r>
      <w:r>
        <w:rPr>
          <w:rFonts w:eastAsia="Arial Unicode MS" w:cs="Arial"/>
        </w:rPr>
        <w:t>5</w:t>
      </w:r>
      <w:r w:rsidRPr="00262071">
        <w:rPr>
          <w:rFonts w:eastAsia="Arial Unicode MS" w:cs="Arial"/>
        </w:rPr>
        <w:t>/20</w:t>
      </w:r>
      <w:r>
        <w:rPr>
          <w:rFonts w:eastAsia="Arial Unicode MS" w:cs="Arial"/>
        </w:rPr>
        <w:t>14</w:t>
      </w:r>
      <w:r w:rsidRPr="00262071">
        <w:rPr>
          <w:rFonts w:eastAsia="Arial Unicode MS" w:cs="Arial"/>
        </w:rPr>
        <w:t>) relatif aux aides à l’encadrement et à la transmission du savoir.</w:t>
      </w:r>
    </w:p>
    <w:p w14:paraId="19AC7A51" w14:textId="77777777" w:rsidR="00FA3FF1" w:rsidRPr="00262071" w:rsidRDefault="00FA3FF1" w:rsidP="00FA3FF1">
      <w:pPr>
        <w:rPr>
          <w:rFonts w:eastAsia="Arial Unicode MS" w:cs="Arial"/>
          <w:b/>
          <w:i/>
        </w:rPr>
      </w:pPr>
      <w:r w:rsidRPr="00262071">
        <w:rPr>
          <w:rFonts w:eastAsia="Arial Unicode MS" w:cs="Arial"/>
          <w:b/>
          <w:i/>
        </w:rPr>
        <w:t>Constatations</w:t>
      </w:r>
    </w:p>
    <w:p w14:paraId="08DD3C63" w14:textId="77777777" w:rsidR="00FA3FF1" w:rsidRDefault="0068055C" w:rsidP="00FA3FF1">
      <w:pPr>
        <w:rPr>
          <w:rFonts w:eastAsia="Arial Unicode MS" w:cs="Arial"/>
        </w:rPr>
      </w:pPr>
      <w:r>
        <w:rPr>
          <w:rFonts w:eastAsia="Arial Unicode MS" w:cs="Arial"/>
        </w:rPr>
        <w:t>1.045</w:t>
      </w:r>
      <w:r w:rsidR="00FA3FF1" w:rsidRPr="00262071">
        <w:rPr>
          <w:rFonts w:eastAsia="Arial Unicode MS" w:cs="Arial"/>
        </w:rPr>
        <w:t xml:space="preserve"> dossiers ont fait l’objet d’une décision, dont </w:t>
      </w:r>
      <w:r>
        <w:rPr>
          <w:rFonts w:eastAsia="Arial Unicode MS" w:cs="Arial"/>
        </w:rPr>
        <w:t>791</w:t>
      </w:r>
      <w:r w:rsidR="00FA3FF1" w:rsidRPr="00262071">
        <w:rPr>
          <w:rFonts w:eastAsia="Arial Unicode MS" w:cs="Arial"/>
        </w:rPr>
        <w:t xml:space="preserve"> positives (</w:t>
      </w:r>
      <w:r>
        <w:rPr>
          <w:rFonts w:eastAsia="Arial Unicode MS" w:cs="Arial"/>
        </w:rPr>
        <w:t>75,69</w:t>
      </w:r>
      <w:r w:rsidR="00F878BD">
        <w:rPr>
          <w:rFonts w:eastAsia="Arial Unicode MS" w:cs="Arial"/>
        </w:rPr>
        <w:t>% des demandes).</w:t>
      </w:r>
    </w:p>
    <w:p w14:paraId="2A6255F7" w14:textId="77777777" w:rsidR="00F878BD" w:rsidRPr="00262071" w:rsidRDefault="00F878BD" w:rsidP="00FA3FF1">
      <w:pPr>
        <w:rPr>
          <w:rFonts w:eastAsia="Arial Unicode MS" w:cs="Arial"/>
        </w:rPr>
      </w:pPr>
      <w:r>
        <w:rPr>
          <w:rFonts w:eastAsia="Arial Unicode MS" w:cs="Arial"/>
        </w:rPr>
        <w:t>Comparativement à l’année précédente, on observe une</w:t>
      </w:r>
      <w:r w:rsidR="001516DF">
        <w:rPr>
          <w:rFonts w:eastAsia="Arial Unicode MS" w:cs="Arial"/>
        </w:rPr>
        <w:t xml:space="preserve"> </w:t>
      </w:r>
      <w:r w:rsidR="0068055C">
        <w:rPr>
          <w:rFonts w:eastAsia="Arial Unicode MS" w:cs="Arial"/>
        </w:rPr>
        <w:t>croissance significative</w:t>
      </w:r>
      <w:r>
        <w:rPr>
          <w:rFonts w:eastAsia="Arial Unicode MS" w:cs="Arial"/>
        </w:rPr>
        <w:t xml:space="preserve"> du nombre de dossiers traités de</w:t>
      </w:r>
      <w:r w:rsidR="0075776B">
        <w:rPr>
          <w:rFonts w:eastAsia="Arial Unicode MS" w:cs="Arial"/>
        </w:rPr>
        <w:t xml:space="preserve"> 1</w:t>
      </w:r>
      <w:r w:rsidR="0068055C">
        <w:rPr>
          <w:rFonts w:eastAsia="Arial Unicode MS" w:cs="Arial"/>
        </w:rPr>
        <w:t>3,09</w:t>
      </w:r>
      <w:r w:rsidR="00BA3928">
        <w:rPr>
          <w:rFonts w:eastAsia="Arial Unicode MS" w:cs="Arial"/>
        </w:rPr>
        <w:t>%. Cette évolution s’explique en partie par une augmentation du nombre de dossiers introduits de 6,07%</w:t>
      </w:r>
      <w:r w:rsidR="000E2270">
        <w:rPr>
          <w:rFonts w:eastAsia="Arial Unicode MS" w:cs="Arial"/>
        </w:rPr>
        <w:t>. Le taux de dossiers refusés par rapport à l’ensemble des dossiers traités est lui aussi en augmentation : en 2017, 24,31% des dossiers traités ont fait l’objet d’un refus pour 18.40% l’année précédente.</w:t>
      </w:r>
    </w:p>
    <w:p w14:paraId="1988C0D2" w14:textId="77777777" w:rsidR="00FA3FF1" w:rsidRPr="00262071" w:rsidRDefault="0075776B" w:rsidP="00BE4CAC">
      <w:pPr>
        <w:jc w:val="left"/>
        <w:rPr>
          <w:rFonts w:eastAsia="Arial Unicode MS" w:cs="Arial"/>
        </w:rPr>
      </w:pPr>
      <w:r>
        <w:rPr>
          <w:rFonts w:eastAsia="Arial Unicode MS" w:cs="Arial"/>
        </w:rPr>
        <w:br w:type="page"/>
      </w:r>
      <w:r w:rsidR="00FA3FF1" w:rsidRPr="00262071">
        <w:rPr>
          <w:rFonts w:eastAsia="Arial Unicode MS" w:cs="Arial"/>
        </w:rPr>
        <w:lastRenderedPageBreak/>
        <w:t>Répartition par types de formation</w:t>
      </w:r>
      <w:r w:rsidR="00FA3FF1">
        <w:rPr>
          <w:rFonts w:eastAsia="Arial Unicode MS" w:cs="Arial"/>
        </w:rPr>
        <w:t xml:space="preserve"> (sur base du nombre de dossiers octroyés)</w:t>
      </w:r>
      <w:r w:rsidR="00FA3FF1" w:rsidRPr="00262071">
        <w:rPr>
          <w:rFonts w:eastAsia="Arial Unicode MS" w:cs="Arial"/>
        </w:rPr>
        <w:t> :</w:t>
      </w:r>
    </w:p>
    <w:p w14:paraId="2E59F4D5" w14:textId="77777777" w:rsidR="00FA3FF1" w:rsidRDefault="00FA3FF1" w:rsidP="00FA3FF1">
      <w:pPr>
        <w:rPr>
          <w:rFonts w:eastAsia="Arial Unicode MS" w:cs="Arial"/>
        </w:rPr>
      </w:pPr>
      <w:r>
        <w:rPr>
          <w:rFonts w:eastAsia="Arial Unicode MS" w:cs="Arial"/>
          <w:noProof/>
          <w:lang w:eastAsia="fr-BE"/>
        </w:rPr>
        <w:drawing>
          <wp:inline distT="0" distB="0" distL="0" distR="0" wp14:anchorId="6921CDFF" wp14:editId="50E8940A">
            <wp:extent cx="5876925" cy="2238375"/>
            <wp:effectExtent l="0" t="0" r="0" b="0"/>
            <wp:docPr id="11" name="Graphique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12603A" w14:textId="77777777" w:rsidR="00FA3FF1" w:rsidRDefault="00FA3FF1" w:rsidP="0075776B">
      <w:pPr>
        <w:pStyle w:val="Titre4"/>
        <w:rPr>
          <w:rFonts w:eastAsia="Arial Unicode MS"/>
        </w:rPr>
      </w:pPr>
      <w:r w:rsidRPr="00262071">
        <w:rPr>
          <w:rFonts w:eastAsia="Arial Unicode MS"/>
        </w:rPr>
        <w:t>Tutorat FPI</w:t>
      </w:r>
    </w:p>
    <w:p w14:paraId="78026A88" w14:textId="77777777" w:rsidR="0075776B" w:rsidRPr="0075776B" w:rsidRDefault="0075776B" w:rsidP="0075776B">
      <w:r>
        <w:t>Cette aide consiste en une prime de jusqu’à 1.000 EUR / mois pour l’engagement et la formation d’un stagiaire dans le cadre d’un Contrat de Formation Professionnelle en Entreprise.</w:t>
      </w:r>
    </w:p>
    <w:p w14:paraId="0FBDDEF7" w14:textId="77777777" w:rsidR="00FA3FF1" w:rsidRPr="00262071" w:rsidRDefault="00FA3FF1" w:rsidP="00FA3FF1">
      <w:pPr>
        <w:rPr>
          <w:rFonts w:eastAsia="Arial Unicode MS" w:cs="Arial"/>
          <w:b/>
          <w:i/>
        </w:rPr>
      </w:pPr>
      <w:r w:rsidRPr="00262071">
        <w:rPr>
          <w:rFonts w:eastAsia="Arial Unicode MS" w:cs="Arial"/>
          <w:b/>
          <w:i/>
        </w:rPr>
        <w:t>Bases légales</w:t>
      </w:r>
    </w:p>
    <w:p w14:paraId="021F7171"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0B4FA903"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(MB du </w:t>
      </w:r>
      <w:r>
        <w:rPr>
          <w:rFonts w:eastAsia="Arial Unicode MS" w:cs="Arial"/>
        </w:rPr>
        <w:t>30</w:t>
      </w:r>
      <w:r w:rsidRPr="00262071">
        <w:rPr>
          <w:rFonts w:eastAsia="Arial Unicode MS" w:cs="Arial"/>
        </w:rPr>
        <w:t>/0</w:t>
      </w:r>
      <w:r>
        <w:rPr>
          <w:rFonts w:eastAsia="Arial Unicode MS" w:cs="Arial"/>
        </w:rPr>
        <w:t>5</w:t>
      </w:r>
      <w:r w:rsidRPr="00262071">
        <w:rPr>
          <w:rFonts w:eastAsia="Arial Unicode MS" w:cs="Arial"/>
        </w:rPr>
        <w:t>/20</w:t>
      </w:r>
      <w:r>
        <w:rPr>
          <w:rFonts w:eastAsia="Arial Unicode MS" w:cs="Arial"/>
        </w:rPr>
        <w:t>14</w:t>
      </w:r>
      <w:r w:rsidRPr="00262071">
        <w:rPr>
          <w:rFonts w:eastAsia="Arial Unicode MS" w:cs="Arial"/>
        </w:rPr>
        <w:t>) relatif aux aides à l’encadrement et à la transmission du savoir.</w:t>
      </w:r>
    </w:p>
    <w:p w14:paraId="0A138AF9" w14:textId="77777777" w:rsidR="00FA3FF1" w:rsidRPr="00262071" w:rsidRDefault="00FA3FF1" w:rsidP="00FA3FF1">
      <w:pPr>
        <w:rPr>
          <w:rFonts w:eastAsia="Arial Unicode MS" w:cs="Arial"/>
          <w:b/>
          <w:i/>
        </w:rPr>
      </w:pPr>
      <w:r w:rsidRPr="00262071">
        <w:rPr>
          <w:rFonts w:eastAsia="Arial Unicode MS" w:cs="Arial"/>
          <w:b/>
          <w:i/>
        </w:rPr>
        <w:t>Constatations</w:t>
      </w:r>
    </w:p>
    <w:p w14:paraId="2AC72361" w14:textId="77777777" w:rsidR="00FA3FF1" w:rsidRPr="00262071" w:rsidRDefault="00DE58A6" w:rsidP="00FA3FF1">
      <w:pPr>
        <w:rPr>
          <w:rFonts w:eastAsia="Arial Unicode MS" w:cs="Arial"/>
        </w:rPr>
      </w:pPr>
      <w:r>
        <w:rPr>
          <w:rFonts w:eastAsia="Arial Unicode MS" w:cs="Arial"/>
        </w:rPr>
        <w:t>63</w:t>
      </w:r>
      <w:r w:rsidR="00FA3FF1" w:rsidRPr="00262071">
        <w:rPr>
          <w:rFonts w:eastAsia="Arial Unicode MS" w:cs="Arial"/>
        </w:rPr>
        <w:t xml:space="preserve"> dossiers ont fait l’objet d’une décision, dont </w:t>
      </w:r>
      <w:r>
        <w:rPr>
          <w:rFonts w:eastAsia="Arial Unicode MS" w:cs="Arial"/>
        </w:rPr>
        <w:t>57</w:t>
      </w:r>
      <w:r w:rsidR="00FA3FF1" w:rsidRPr="00262071">
        <w:rPr>
          <w:rFonts w:eastAsia="Arial Unicode MS" w:cs="Arial"/>
        </w:rPr>
        <w:t xml:space="preserve"> favorables</w:t>
      </w:r>
      <w:r>
        <w:rPr>
          <w:rFonts w:eastAsia="Arial Unicode MS" w:cs="Arial"/>
        </w:rPr>
        <w:t xml:space="preserve"> (80,95%)</w:t>
      </w:r>
      <w:r w:rsidR="00FA3FF1" w:rsidRPr="00262071">
        <w:rPr>
          <w:rFonts w:eastAsia="Arial Unicode MS" w:cs="Arial"/>
        </w:rPr>
        <w:t xml:space="preserve">. </w:t>
      </w:r>
    </w:p>
    <w:p w14:paraId="34A4FBE9" w14:textId="77777777" w:rsidR="00FA3FF1" w:rsidRPr="0075776B" w:rsidRDefault="0075776B" w:rsidP="00FA3FF1">
      <w:pPr>
        <w:rPr>
          <w:rFonts w:eastAsia="Arial Unicode MS" w:cs="Arial"/>
        </w:rPr>
      </w:pPr>
      <w:r w:rsidRPr="0075776B">
        <w:rPr>
          <w:rFonts w:eastAsia="Arial Unicode MS" w:cs="Arial"/>
        </w:rPr>
        <w:t>Comparativement à l’année précédente,</w:t>
      </w:r>
      <w:r>
        <w:rPr>
          <w:rFonts w:eastAsia="Arial Unicode MS" w:cs="Arial"/>
        </w:rPr>
        <w:t xml:space="preserve"> on observe une croissance de </w:t>
      </w:r>
      <w:r w:rsidR="00DE58A6">
        <w:rPr>
          <w:rFonts w:eastAsia="Arial Unicode MS" w:cs="Arial"/>
        </w:rPr>
        <w:t>36,96</w:t>
      </w:r>
      <w:r>
        <w:rPr>
          <w:rFonts w:eastAsia="Arial Unicode MS" w:cs="Arial"/>
        </w:rPr>
        <w:t>% du nombre de dossiers traités (</w:t>
      </w:r>
      <w:r w:rsidR="00DE58A6">
        <w:rPr>
          <w:rFonts w:eastAsia="Arial Unicode MS" w:cs="Arial"/>
        </w:rPr>
        <w:t>46</w:t>
      </w:r>
      <w:r>
        <w:rPr>
          <w:rFonts w:eastAsia="Arial Unicode MS" w:cs="Arial"/>
        </w:rPr>
        <w:t>)</w:t>
      </w:r>
      <w:r w:rsidR="00DE58A6">
        <w:rPr>
          <w:rFonts w:eastAsia="Arial Unicode MS" w:cs="Arial"/>
        </w:rPr>
        <w:t>. Cette augmentation significative est liée à une augmentation dans les mêmes proportions du nombre de dossiers introduits</w:t>
      </w:r>
      <w:r w:rsidR="00EA2E5A">
        <w:rPr>
          <w:rFonts w:eastAsia="Arial Unicode MS" w:cs="Arial"/>
        </w:rPr>
        <w:t>. La proportion du nombre de dossiers accepté</w:t>
      </w:r>
      <w:r w:rsidR="00F44919">
        <w:rPr>
          <w:rFonts w:eastAsia="Arial Unicode MS" w:cs="Arial"/>
        </w:rPr>
        <w:t>s</w:t>
      </w:r>
      <w:r w:rsidR="00EA2E5A">
        <w:rPr>
          <w:rFonts w:eastAsia="Arial Unicode MS" w:cs="Arial"/>
        </w:rPr>
        <w:t xml:space="preserve"> reste stable.</w:t>
      </w:r>
    </w:p>
    <w:p w14:paraId="3860EB04" w14:textId="77777777" w:rsidR="00FA3FF1" w:rsidRDefault="00FA3FF1" w:rsidP="0075776B">
      <w:pPr>
        <w:pStyle w:val="Titre4"/>
        <w:rPr>
          <w:rFonts w:eastAsia="Arial Unicode MS"/>
        </w:rPr>
      </w:pPr>
      <w:r>
        <w:rPr>
          <w:rFonts w:eastAsia="Arial Unicode MS"/>
        </w:rPr>
        <w:t>Mise à disposition de locaux</w:t>
      </w:r>
    </w:p>
    <w:p w14:paraId="7924DC54" w14:textId="77777777" w:rsidR="0075776B" w:rsidRPr="0075776B" w:rsidRDefault="0075776B" w:rsidP="0075776B">
      <w:r>
        <w:t>Il s’agit d’un subside journalier correspondant aux coûts réels liés au fait de mettre des chantiers, du matériel ou des locaux à la disposition d’un établissement d’enseignement.</w:t>
      </w:r>
    </w:p>
    <w:p w14:paraId="16258797" w14:textId="77777777" w:rsidR="00FA3FF1" w:rsidRPr="00262071" w:rsidRDefault="00FA3FF1" w:rsidP="00FA3FF1">
      <w:pPr>
        <w:rPr>
          <w:rFonts w:eastAsia="Arial Unicode MS" w:cs="Arial"/>
          <w:b/>
          <w:i/>
        </w:rPr>
      </w:pPr>
      <w:r w:rsidRPr="00262071">
        <w:rPr>
          <w:rFonts w:eastAsia="Arial Unicode MS" w:cs="Arial"/>
          <w:b/>
          <w:i/>
        </w:rPr>
        <w:t>Bases légales</w:t>
      </w:r>
    </w:p>
    <w:p w14:paraId="38CF761C"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09F2EA3D"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(MB du </w:t>
      </w:r>
      <w:r>
        <w:rPr>
          <w:rFonts w:eastAsia="Arial Unicode MS" w:cs="Arial"/>
        </w:rPr>
        <w:t>30</w:t>
      </w:r>
      <w:r w:rsidRPr="00262071">
        <w:rPr>
          <w:rFonts w:eastAsia="Arial Unicode MS" w:cs="Arial"/>
        </w:rPr>
        <w:t>/0</w:t>
      </w:r>
      <w:r>
        <w:rPr>
          <w:rFonts w:eastAsia="Arial Unicode MS" w:cs="Arial"/>
        </w:rPr>
        <w:t>5</w:t>
      </w:r>
      <w:r w:rsidRPr="00262071">
        <w:rPr>
          <w:rFonts w:eastAsia="Arial Unicode MS" w:cs="Arial"/>
        </w:rPr>
        <w:t>/20</w:t>
      </w:r>
      <w:r>
        <w:rPr>
          <w:rFonts w:eastAsia="Arial Unicode MS" w:cs="Arial"/>
        </w:rPr>
        <w:t>14</w:t>
      </w:r>
      <w:r w:rsidRPr="00262071">
        <w:rPr>
          <w:rFonts w:eastAsia="Arial Unicode MS" w:cs="Arial"/>
        </w:rPr>
        <w:t>) relatif aux aides à l’encadrement et à la transmission du savoir.</w:t>
      </w:r>
    </w:p>
    <w:p w14:paraId="4710E660" w14:textId="77777777" w:rsidR="00FA3FF1" w:rsidRPr="00262071" w:rsidRDefault="006716C2" w:rsidP="00FA3FF1">
      <w:pPr>
        <w:rPr>
          <w:rFonts w:eastAsia="Arial Unicode MS" w:cs="Arial"/>
          <w:b/>
          <w:i/>
        </w:rPr>
      </w:pPr>
      <w:r>
        <w:rPr>
          <w:rFonts w:eastAsia="Arial Unicode MS" w:cs="Arial"/>
          <w:b/>
          <w:i/>
        </w:rPr>
        <w:lastRenderedPageBreak/>
        <w:t>C</w:t>
      </w:r>
      <w:r w:rsidR="00FA3FF1" w:rsidRPr="00262071">
        <w:rPr>
          <w:rFonts w:eastAsia="Arial Unicode MS" w:cs="Arial"/>
          <w:b/>
          <w:i/>
        </w:rPr>
        <w:t>onstatations</w:t>
      </w:r>
    </w:p>
    <w:p w14:paraId="6E62BDE6" w14:textId="77777777" w:rsidR="00FA3FF1" w:rsidRPr="00262071" w:rsidRDefault="006716C2" w:rsidP="00FA3FF1">
      <w:pPr>
        <w:rPr>
          <w:rFonts w:eastAsia="Arial Unicode MS" w:cs="Arial"/>
        </w:rPr>
      </w:pPr>
      <w:r>
        <w:rPr>
          <w:rFonts w:eastAsia="Arial Unicode MS" w:cs="Arial"/>
        </w:rPr>
        <w:t>7</w:t>
      </w:r>
      <w:r w:rsidR="00FA3FF1">
        <w:rPr>
          <w:rFonts w:eastAsia="Arial Unicode MS" w:cs="Arial"/>
        </w:rPr>
        <w:t xml:space="preserve"> </w:t>
      </w:r>
      <w:r w:rsidR="00FA3FF1" w:rsidRPr="00262071">
        <w:rPr>
          <w:rFonts w:eastAsia="Arial Unicode MS" w:cs="Arial"/>
        </w:rPr>
        <w:t xml:space="preserve">dossiers ont fait l’objet d’une décision, </w:t>
      </w:r>
      <w:r>
        <w:rPr>
          <w:rFonts w:eastAsia="Arial Unicode MS" w:cs="Arial"/>
        </w:rPr>
        <w:t>toutes positives</w:t>
      </w:r>
      <w:r w:rsidR="00FA3FF1" w:rsidRPr="00262071">
        <w:rPr>
          <w:rFonts w:eastAsia="Arial Unicode MS" w:cs="Arial"/>
        </w:rPr>
        <w:t xml:space="preserve">. </w:t>
      </w:r>
    </w:p>
    <w:p w14:paraId="5D1C1644" w14:textId="77777777" w:rsidR="00FA3FF1" w:rsidRPr="0075776B" w:rsidRDefault="0075776B" w:rsidP="00FA3FF1">
      <w:pPr>
        <w:rPr>
          <w:rFonts w:eastAsia="Arial Unicode MS" w:cs="Arial"/>
        </w:rPr>
      </w:pPr>
      <w:r w:rsidRPr="0075776B">
        <w:rPr>
          <w:rFonts w:eastAsia="Arial Unicode MS" w:cs="Arial"/>
        </w:rPr>
        <w:t>Comparativement</w:t>
      </w:r>
      <w:r>
        <w:rPr>
          <w:rFonts w:eastAsia="Arial Unicode MS" w:cs="Arial"/>
        </w:rPr>
        <w:t xml:space="preserve"> à l’année précédente, on constate une </w:t>
      </w:r>
      <w:r w:rsidR="006716C2">
        <w:rPr>
          <w:rFonts w:eastAsia="Arial Unicode MS" w:cs="Arial"/>
        </w:rPr>
        <w:t>dé</w:t>
      </w:r>
      <w:r>
        <w:rPr>
          <w:rFonts w:eastAsia="Arial Unicode MS" w:cs="Arial"/>
        </w:rPr>
        <w:t xml:space="preserve">croissance de </w:t>
      </w:r>
      <w:r w:rsidR="006716C2">
        <w:rPr>
          <w:rFonts w:eastAsia="Arial Unicode MS" w:cs="Arial"/>
        </w:rPr>
        <w:t>69,57% de dossiers traités s’expliquant partiellement par une décroissance de 48% du nombre de dossiers introduits.</w:t>
      </w:r>
    </w:p>
    <w:p w14:paraId="198F1655" w14:textId="77777777" w:rsidR="00FA3FF1" w:rsidRDefault="00FA3FF1" w:rsidP="00663588">
      <w:pPr>
        <w:pStyle w:val="Titre4"/>
        <w:rPr>
          <w:rFonts w:eastAsia="Arial Unicode MS"/>
        </w:rPr>
      </w:pPr>
      <w:r w:rsidRPr="00262071">
        <w:rPr>
          <w:rFonts w:eastAsia="Arial Unicode MS"/>
        </w:rPr>
        <w:t>Recrutement projet spécifique</w:t>
      </w:r>
    </w:p>
    <w:p w14:paraId="21587660" w14:textId="77777777" w:rsidR="00663588" w:rsidRPr="00663588" w:rsidRDefault="00663588" w:rsidP="00663588">
      <w:r>
        <w:t>Il s’agit d’une aide de maximum 25.000 EUR / an pour engager et affecter à temps plein, pour la mise en œuvre d’un projet spécifique (ou la transmission d’une PME), un demandeur d’emploi inscrit auprès d’</w:t>
      </w:r>
      <w:proofErr w:type="spellStart"/>
      <w:r>
        <w:t>Actiris</w:t>
      </w:r>
      <w:proofErr w:type="spellEnd"/>
      <w:r>
        <w:t>.</w:t>
      </w:r>
    </w:p>
    <w:p w14:paraId="59C1FCE4" w14:textId="77777777" w:rsidR="00FA3FF1" w:rsidRPr="00262071" w:rsidRDefault="00FA3FF1" w:rsidP="00FA3FF1">
      <w:pPr>
        <w:rPr>
          <w:rFonts w:eastAsia="Arial Unicode MS" w:cs="Arial"/>
          <w:b/>
          <w:i/>
        </w:rPr>
      </w:pPr>
      <w:r w:rsidRPr="00262071">
        <w:rPr>
          <w:rFonts w:eastAsia="Arial Unicode MS" w:cs="Arial"/>
          <w:b/>
          <w:i/>
        </w:rPr>
        <w:t>Bases légales</w:t>
      </w:r>
    </w:p>
    <w:p w14:paraId="020FA3A1"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2D050113"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(MB du 14/08/2008) relatif à l’aide au recrutement.</w:t>
      </w:r>
    </w:p>
    <w:p w14:paraId="3407087A" w14:textId="77777777" w:rsidR="00FA3FF1" w:rsidRPr="00262071" w:rsidRDefault="00FA3FF1" w:rsidP="00FA3FF1">
      <w:pPr>
        <w:rPr>
          <w:rFonts w:eastAsia="Arial Unicode MS" w:cs="Arial"/>
          <w:b/>
          <w:i/>
          <w:u w:val="single"/>
        </w:rPr>
      </w:pPr>
      <w:r w:rsidRPr="00262071">
        <w:rPr>
          <w:rFonts w:eastAsia="Arial Unicode MS" w:cs="Arial"/>
          <w:b/>
          <w:i/>
        </w:rPr>
        <w:t>Constatations</w:t>
      </w:r>
    </w:p>
    <w:p w14:paraId="0CDD013F" w14:textId="77777777" w:rsidR="00FA3FF1" w:rsidRPr="00262071" w:rsidRDefault="00FA3FF1" w:rsidP="00FA3FF1">
      <w:pPr>
        <w:rPr>
          <w:rFonts w:eastAsia="Arial Unicode MS" w:cs="Arial"/>
        </w:rPr>
      </w:pPr>
      <w:r w:rsidRPr="00262071">
        <w:rPr>
          <w:rFonts w:eastAsia="Arial Unicode MS" w:cs="Arial"/>
        </w:rPr>
        <w:t xml:space="preserve">En </w:t>
      </w:r>
      <w:r w:rsidR="003E1B8C">
        <w:rPr>
          <w:rFonts w:eastAsia="Arial Unicode MS" w:cs="Arial"/>
        </w:rPr>
        <w:t>2017</w:t>
      </w:r>
      <w:r w:rsidRPr="00262071">
        <w:rPr>
          <w:rFonts w:eastAsia="Arial Unicode MS" w:cs="Arial"/>
        </w:rPr>
        <w:t xml:space="preserve">, </w:t>
      </w:r>
      <w:r w:rsidR="003E1B8C">
        <w:rPr>
          <w:rFonts w:eastAsia="Arial Unicode MS" w:cs="Arial"/>
        </w:rPr>
        <w:t>39</w:t>
      </w:r>
      <w:r w:rsidRPr="00262071">
        <w:rPr>
          <w:rFonts w:eastAsia="Arial Unicode MS" w:cs="Arial"/>
        </w:rPr>
        <w:t xml:space="preserve"> dossiers ont été traités dont </w:t>
      </w:r>
      <w:r w:rsidR="003E1B8C">
        <w:rPr>
          <w:rFonts w:eastAsia="Arial Unicode MS" w:cs="Arial"/>
        </w:rPr>
        <w:t>22</w:t>
      </w:r>
      <w:r w:rsidRPr="00262071">
        <w:rPr>
          <w:rFonts w:eastAsia="Arial Unicode MS" w:cs="Arial"/>
        </w:rPr>
        <w:t xml:space="preserve"> avec décision </w:t>
      </w:r>
      <w:r w:rsidR="00993DE9">
        <w:rPr>
          <w:rFonts w:eastAsia="Arial Unicode MS" w:cs="Arial"/>
        </w:rPr>
        <w:t>d’octroi</w:t>
      </w:r>
      <w:r w:rsidRPr="00262071">
        <w:rPr>
          <w:rFonts w:eastAsia="Arial Unicode MS" w:cs="Arial"/>
        </w:rPr>
        <w:t>. Les projet spécifiques concernaient principalement l’innovation (</w:t>
      </w:r>
      <w:r w:rsidR="002F4801">
        <w:rPr>
          <w:rFonts w:eastAsia="Arial Unicode MS" w:cs="Arial"/>
        </w:rPr>
        <w:t>11</w:t>
      </w:r>
      <w:r w:rsidRPr="00262071">
        <w:rPr>
          <w:rFonts w:eastAsia="Arial Unicode MS" w:cs="Arial"/>
        </w:rPr>
        <w:t xml:space="preserve"> dossi</w:t>
      </w:r>
      <w:r w:rsidR="002F4801">
        <w:rPr>
          <w:rFonts w:eastAsia="Arial Unicode MS" w:cs="Arial"/>
        </w:rPr>
        <w:t>ers) et l’exportation hors UE (10</w:t>
      </w:r>
      <w:r w:rsidRPr="00262071">
        <w:rPr>
          <w:rFonts w:eastAsia="Arial Unicode MS" w:cs="Arial"/>
        </w:rPr>
        <w:t xml:space="preserve"> dossiers).</w:t>
      </w:r>
    </w:p>
    <w:p w14:paraId="158587F6" w14:textId="77777777" w:rsidR="00FA3FF1" w:rsidRPr="00663588" w:rsidRDefault="00663588" w:rsidP="00FA3FF1">
      <w:pPr>
        <w:rPr>
          <w:rFonts w:eastAsia="Arial Unicode MS" w:cs="Arial"/>
        </w:rPr>
      </w:pPr>
      <w:r>
        <w:rPr>
          <w:rFonts w:eastAsia="Arial Unicode MS" w:cs="Arial"/>
        </w:rPr>
        <w:t>Comparativement à l’année précédente</w:t>
      </w:r>
      <w:r w:rsidR="002F4801">
        <w:rPr>
          <w:rFonts w:eastAsia="Arial Unicode MS" w:cs="Arial"/>
        </w:rPr>
        <w:t>, on observe une croissance de 11,43</w:t>
      </w:r>
      <w:r>
        <w:rPr>
          <w:rFonts w:eastAsia="Arial Unicode MS" w:cs="Arial"/>
        </w:rPr>
        <w:t xml:space="preserve">% du nombre de </w:t>
      </w:r>
      <w:r w:rsidR="002F4801">
        <w:rPr>
          <w:rFonts w:eastAsia="Arial Unicode MS" w:cs="Arial"/>
        </w:rPr>
        <w:t>dossiers traités. Le taux de refus à quant à lui fortement augmenté, passant de 31,43% en 2016 à 43.59% en 2017.</w:t>
      </w:r>
    </w:p>
    <w:p w14:paraId="3EBD9314" w14:textId="77777777" w:rsidR="00FA3FF1" w:rsidRDefault="00FA3FF1" w:rsidP="00663588">
      <w:pPr>
        <w:pStyle w:val="Titre4"/>
        <w:rPr>
          <w:rFonts w:eastAsia="Arial Unicode MS"/>
        </w:rPr>
      </w:pPr>
      <w:r w:rsidRPr="00262071">
        <w:rPr>
          <w:rFonts w:eastAsia="Arial Unicode MS"/>
        </w:rPr>
        <w:t>Recrutement au profit des ASBL actives dans l’accompagnement des PME</w:t>
      </w:r>
    </w:p>
    <w:p w14:paraId="09C02E46" w14:textId="77777777" w:rsidR="00FA3FF1" w:rsidRPr="00262071" w:rsidRDefault="00FA3FF1" w:rsidP="00FA3FF1">
      <w:pPr>
        <w:rPr>
          <w:rFonts w:eastAsia="Arial Unicode MS" w:cs="Arial"/>
          <w:b/>
          <w:i/>
        </w:rPr>
      </w:pPr>
      <w:r w:rsidRPr="00262071">
        <w:rPr>
          <w:rFonts w:eastAsia="Arial Unicode MS" w:cs="Arial"/>
          <w:b/>
          <w:i/>
        </w:rPr>
        <w:t>Bases légales</w:t>
      </w:r>
    </w:p>
    <w:p w14:paraId="2CBBFC43"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42C95F18" w14:textId="77777777" w:rsidR="00FA3FF1" w:rsidRPr="00262071" w:rsidRDefault="00FA3FF1" w:rsidP="00FA3FF1">
      <w:pPr>
        <w:rPr>
          <w:rFonts w:eastAsia="Arial Unicode MS" w:cs="Arial"/>
        </w:rPr>
      </w:pPr>
      <w:r w:rsidRPr="00262071">
        <w:rPr>
          <w:rFonts w:eastAsia="Arial Unicode MS" w:cs="Arial"/>
        </w:rPr>
        <w:t xml:space="preserve">Arrêté du Gouvernement de la Région de Bruxelles-Capitale du </w:t>
      </w:r>
      <w:r>
        <w:rPr>
          <w:rFonts w:eastAsia="Arial Unicode MS" w:cs="Arial"/>
        </w:rPr>
        <w:t>24</w:t>
      </w:r>
      <w:r w:rsidRPr="00262071">
        <w:rPr>
          <w:rFonts w:eastAsia="Arial Unicode MS" w:cs="Arial"/>
        </w:rPr>
        <w:t>/04/20</w:t>
      </w:r>
      <w:r>
        <w:rPr>
          <w:rFonts w:eastAsia="Arial Unicode MS" w:cs="Arial"/>
        </w:rPr>
        <w:t>14</w:t>
      </w:r>
      <w:r w:rsidRPr="00262071">
        <w:rPr>
          <w:rFonts w:eastAsia="Arial Unicode MS" w:cs="Arial"/>
        </w:rPr>
        <w:t xml:space="preserve"> (MB du </w:t>
      </w:r>
      <w:r>
        <w:rPr>
          <w:rFonts w:eastAsia="Arial Unicode MS" w:cs="Arial"/>
        </w:rPr>
        <w:t>30</w:t>
      </w:r>
      <w:r w:rsidRPr="00262071">
        <w:rPr>
          <w:rFonts w:eastAsia="Arial Unicode MS" w:cs="Arial"/>
        </w:rPr>
        <w:t>/05/20</w:t>
      </w:r>
      <w:r>
        <w:rPr>
          <w:rFonts w:eastAsia="Arial Unicode MS" w:cs="Arial"/>
        </w:rPr>
        <w:t>14</w:t>
      </w:r>
      <w:r w:rsidRPr="00262071">
        <w:rPr>
          <w:rFonts w:eastAsia="Arial Unicode MS" w:cs="Arial"/>
        </w:rPr>
        <w:t>) relatif à l’aide au recrutement au profit des ASBL, AISBL et aux fondations actives dans l’accompagnement des micro, petites et moyennes entreprises.</w:t>
      </w:r>
    </w:p>
    <w:p w14:paraId="425203DF" w14:textId="77777777" w:rsidR="00FA3FF1" w:rsidRPr="00262071" w:rsidRDefault="00FA3FF1" w:rsidP="00FA3FF1">
      <w:pPr>
        <w:rPr>
          <w:rFonts w:eastAsia="Arial Unicode MS" w:cs="Arial"/>
          <w:b/>
          <w:i/>
        </w:rPr>
      </w:pPr>
      <w:r w:rsidRPr="00262071">
        <w:rPr>
          <w:rFonts w:eastAsia="Arial Unicode MS" w:cs="Arial"/>
          <w:b/>
          <w:i/>
        </w:rPr>
        <w:t>Constatations</w:t>
      </w:r>
    </w:p>
    <w:p w14:paraId="5F6B47EB" w14:textId="77777777" w:rsidR="00FA3FF1" w:rsidRDefault="009D0D8A" w:rsidP="00FA3FF1">
      <w:pPr>
        <w:rPr>
          <w:rFonts w:eastAsia="Arial Unicode MS" w:cs="Arial"/>
        </w:rPr>
      </w:pPr>
      <w:r>
        <w:rPr>
          <w:rFonts w:eastAsia="Arial Unicode MS" w:cs="Arial"/>
        </w:rPr>
        <w:t>2</w:t>
      </w:r>
      <w:r w:rsidR="00FA3FF1" w:rsidRPr="00262071">
        <w:rPr>
          <w:rFonts w:eastAsia="Arial Unicode MS" w:cs="Arial"/>
        </w:rPr>
        <w:t xml:space="preserve"> demande</w:t>
      </w:r>
      <w:r>
        <w:rPr>
          <w:rFonts w:eastAsia="Arial Unicode MS" w:cs="Arial"/>
        </w:rPr>
        <w:t>s ont été traitées en 2017</w:t>
      </w:r>
      <w:r w:rsidR="00FA3FF1" w:rsidRPr="00262071">
        <w:rPr>
          <w:rFonts w:eastAsia="Arial Unicode MS" w:cs="Arial"/>
        </w:rPr>
        <w:t xml:space="preserve">, </w:t>
      </w:r>
      <w:r w:rsidR="00FA3FF1">
        <w:rPr>
          <w:rFonts w:eastAsia="Arial Unicode MS" w:cs="Arial"/>
        </w:rPr>
        <w:t xml:space="preserve">avec </w:t>
      </w:r>
      <w:r w:rsidR="00FA3FF1" w:rsidRPr="00262071">
        <w:rPr>
          <w:rFonts w:eastAsia="Arial Unicode MS" w:cs="Arial"/>
        </w:rPr>
        <w:t xml:space="preserve">décision </w:t>
      </w:r>
      <w:r w:rsidR="00993DE9">
        <w:rPr>
          <w:rFonts w:eastAsia="Arial Unicode MS" w:cs="Arial"/>
        </w:rPr>
        <w:t>positive</w:t>
      </w:r>
      <w:r w:rsidR="00FA3FF1" w:rsidRPr="00262071">
        <w:rPr>
          <w:rFonts w:eastAsia="Arial Unicode MS" w:cs="Arial"/>
        </w:rPr>
        <w:t>.</w:t>
      </w:r>
    </w:p>
    <w:p w14:paraId="31B2EE45" w14:textId="77777777" w:rsidR="00FA3FF1" w:rsidRPr="00262071" w:rsidRDefault="00663588" w:rsidP="00FA3FF1">
      <w:pPr>
        <w:rPr>
          <w:rFonts w:eastAsia="Arial Unicode MS" w:cs="Arial"/>
        </w:rPr>
      </w:pPr>
      <w:r>
        <w:rPr>
          <w:rFonts w:eastAsia="Arial Unicode MS" w:cs="Arial"/>
        </w:rPr>
        <w:t xml:space="preserve">En </w:t>
      </w:r>
      <w:r w:rsidR="009D0D8A">
        <w:rPr>
          <w:rFonts w:eastAsia="Arial Unicode MS" w:cs="Arial"/>
        </w:rPr>
        <w:t>2016, 1 dossier avai</w:t>
      </w:r>
      <w:r>
        <w:rPr>
          <w:rFonts w:eastAsia="Arial Unicode MS" w:cs="Arial"/>
        </w:rPr>
        <w:t>t été traité et octroyé.</w:t>
      </w:r>
    </w:p>
    <w:p w14:paraId="386B961F" w14:textId="77777777" w:rsidR="00663588" w:rsidRDefault="00663588">
      <w:pPr>
        <w:jc w:val="left"/>
        <w:rPr>
          <w:rFonts w:eastAsia="Arial Unicode MS" w:cs="Arial"/>
          <w:b/>
          <w:u w:val="single"/>
        </w:rPr>
      </w:pPr>
      <w:r>
        <w:rPr>
          <w:rFonts w:eastAsia="Arial Unicode MS" w:cs="Arial"/>
          <w:b/>
          <w:u w:val="single"/>
        </w:rPr>
        <w:br w:type="page"/>
      </w:r>
    </w:p>
    <w:p w14:paraId="126B00ED" w14:textId="77777777" w:rsidR="00FA3FF1" w:rsidRDefault="00FA3FF1" w:rsidP="00663588">
      <w:pPr>
        <w:pStyle w:val="Titre4"/>
        <w:rPr>
          <w:rFonts w:eastAsia="Arial Unicode MS"/>
        </w:rPr>
      </w:pPr>
      <w:r w:rsidRPr="00262071">
        <w:rPr>
          <w:rFonts w:eastAsia="Arial Unicode MS"/>
        </w:rPr>
        <w:lastRenderedPageBreak/>
        <w:t>Accueil de la petite enfance</w:t>
      </w:r>
    </w:p>
    <w:p w14:paraId="2E0F3986" w14:textId="77777777" w:rsidR="00663588" w:rsidRPr="00663588" w:rsidRDefault="00663588" w:rsidP="00663588">
      <w:r>
        <w:t>Cette aide consiste en un soutien financier aux entreprises qui réservent des place dans un milieu d’accueil pour les enfants de 0 à 3 ans, au profit des membres de leur personnel.</w:t>
      </w:r>
    </w:p>
    <w:p w14:paraId="191E90B7" w14:textId="77777777" w:rsidR="00FA3FF1" w:rsidRPr="00262071" w:rsidRDefault="00FA3FF1" w:rsidP="00FA3FF1">
      <w:pPr>
        <w:rPr>
          <w:rFonts w:eastAsia="Arial Unicode MS" w:cs="Arial"/>
          <w:b/>
          <w:i/>
        </w:rPr>
      </w:pPr>
      <w:r w:rsidRPr="00262071">
        <w:rPr>
          <w:rFonts w:eastAsia="Arial Unicode MS" w:cs="Arial"/>
          <w:b/>
          <w:i/>
        </w:rPr>
        <w:t>Bases légales</w:t>
      </w:r>
    </w:p>
    <w:p w14:paraId="44A27773"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 (MB du 10/01/2008).</w:t>
      </w:r>
    </w:p>
    <w:p w14:paraId="27CD4EBF"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(MB du 14/08/2008) relatif à l’aide aux entreprises destinée à l’accueil de la petite enfance.</w:t>
      </w:r>
    </w:p>
    <w:p w14:paraId="0A52B24F" w14:textId="77777777" w:rsidR="00FA3FF1" w:rsidRPr="00262071" w:rsidRDefault="00FA3FF1" w:rsidP="00FA3FF1">
      <w:pPr>
        <w:rPr>
          <w:rFonts w:eastAsia="Arial Unicode MS" w:cs="Arial"/>
          <w:b/>
          <w:i/>
        </w:rPr>
      </w:pPr>
      <w:r w:rsidRPr="00262071">
        <w:rPr>
          <w:rFonts w:eastAsia="Arial Unicode MS" w:cs="Arial"/>
          <w:b/>
          <w:i/>
        </w:rPr>
        <w:t>Constatations</w:t>
      </w:r>
    </w:p>
    <w:p w14:paraId="218F27AA" w14:textId="77777777" w:rsidR="00FA3FF1" w:rsidRPr="00262071" w:rsidRDefault="00FA3FF1" w:rsidP="00FA3FF1">
      <w:pPr>
        <w:rPr>
          <w:rFonts w:eastAsia="Arial Unicode MS" w:cs="Arial"/>
        </w:rPr>
      </w:pPr>
      <w:r w:rsidRPr="00262071">
        <w:rPr>
          <w:rFonts w:eastAsia="Arial Unicode MS" w:cs="Arial"/>
        </w:rPr>
        <w:t xml:space="preserve">En </w:t>
      </w:r>
      <w:r w:rsidR="009D0D8A">
        <w:rPr>
          <w:rFonts w:eastAsia="Arial Unicode MS" w:cs="Arial"/>
        </w:rPr>
        <w:t>2017</w:t>
      </w:r>
      <w:r w:rsidRPr="00262071">
        <w:rPr>
          <w:rFonts w:eastAsia="Arial Unicode MS" w:cs="Arial"/>
        </w:rPr>
        <w:t xml:space="preserve">, </w:t>
      </w:r>
      <w:r w:rsidR="009D0D8A">
        <w:rPr>
          <w:rFonts w:eastAsia="Arial Unicode MS" w:cs="Arial"/>
        </w:rPr>
        <w:t>61</w:t>
      </w:r>
      <w:r w:rsidR="00A9455A">
        <w:rPr>
          <w:rFonts w:eastAsia="Arial Unicode MS" w:cs="Arial"/>
        </w:rPr>
        <w:t xml:space="preserve"> dossiers ont été traités. </w:t>
      </w:r>
      <w:r w:rsidR="009D0D8A">
        <w:rPr>
          <w:rFonts w:eastAsia="Arial Unicode MS" w:cs="Arial"/>
        </w:rPr>
        <w:t>61</w:t>
      </w:r>
      <w:r w:rsidRPr="00262071">
        <w:rPr>
          <w:rFonts w:eastAsia="Arial Unicode MS" w:cs="Arial"/>
        </w:rPr>
        <w:t xml:space="preserve"> dossiers ont reçu une décision </w:t>
      </w:r>
      <w:r w:rsidR="00663588">
        <w:rPr>
          <w:rFonts w:eastAsia="Arial Unicode MS" w:cs="Arial"/>
        </w:rPr>
        <w:t>positive</w:t>
      </w:r>
      <w:r w:rsidR="009D0D8A">
        <w:rPr>
          <w:rFonts w:eastAsia="Arial Unicode MS" w:cs="Arial"/>
        </w:rPr>
        <w:t>, soit 80,32% des demandes traitées</w:t>
      </w:r>
      <w:r w:rsidRPr="00262071">
        <w:rPr>
          <w:rFonts w:eastAsia="Arial Unicode MS" w:cs="Arial"/>
        </w:rPr>
        <w:t xml:space="preserve">. Les </w:t>
      </w:r>
      <w:r w:rsidR="009D0D8A">
        <w:rPr>
          <w:rFonts w:eastAsia="Arial Unicode MS" w:cs="Arial"/>
        </w:rPr>
        <w:t>213</w:t>
      </w:r>
      <w:r>
        <w:rPr>
          <w:rFonts w:eastAsia="Arial Unicode MS" w:cs="Arial"/>
        </w:rPr>
        <w:t xml:space="preserve">.000 </w:t>
      </w:r>
      <w:r w:rsidRPr="00262071">
        <w:rPr>
          <w:rFonts w:eastAsia="Arial Unicode MS" w:cs="Arial"/>
        </w:rPr>
        <w:t xml:space="preserve">€ de primes octroyées correspondent à la réservation de </w:t>
      </w:r>
      <w:r w:rsidR="009D0D8A">
        <w:rPr>
          <w:rFonts w:eastAsia="Arial Unicode MS" w:cs="Arial"/>
        </w:rPr>
        <w:t>53</w:t>
      </w:r>
      <w:r w:rsidRPr="00262071">
        <w:rPr>
          <w:rFonts w:eastAsia="Arial Unicode MS" w:cs="Arial"/>
        </w:rPr>
        <w:t xml:space="preserve"> places dans des crèches.</w:t>
      </w:r>
    </w:p>
    <w:p w14:paraId="0BF1699F" w14:textId="77777777" w:rsidR="00A9455A" w:rsidRPr="00663588" w:rsidRDefault="00A9455A" w:rsidP="00A9455A">
      <w:pPr>
        <w:rPr>
          <w:rFonts w:eastAsia="Arial Unicode MS" w:cs="Arial"/>
        </w:rPr>
      </w:pPr>
      <w:r>
        <w:rPr>
          <w:rFonts w:eastAsia="Arial Unicode MS" w:cs="Arial"/>
        </w:rPr>
        <w:t xml:space="preserve">Comparativement à l’année précédente, on observe une </w:t>
      </w:r>
      <w:r w:rsidR="001516DF">
        <w:rPr>
          <w:rFonts w:eastAsia="Arial Unicode MS" w:cs="Arial"/>
        </w:rPr>
        <w:t>décroissance</w:t>
      </w:r>
      <w:r>
        <w:rPr>
          <w:rFonts w:eastAsia="Arial Unicode MS" w:cs="Arial"/>
        </w:rPr>
        <w:t xml:space="preserve"> de </w:t>
      </w:r>
      <w:r w:rsidR="009D0D8A">
        <w:rPr>
          <w:rFonts w:eastAsia="Arial Unicode MS" w:cs="Arial"/>
        </w:rPr>
        <w:t>37,75% du nombre de dossiers traités, expliquée partiellement par une diminution du nombre de demandes introduites de 22,45% et du remplacement du coordinateur matière.</w:t>
      </w:r>
    </w:p>
    <w:p w14:paraId="476DA977" w14:textId="77777777" w:rsidR="00FA3FF1" w:rsidRPr="00663588" w:rsidRDefault="00FA3FF1" w:rsidP="00A0171E">
      <w:pPr>
        <w:pStyle w:val="Titre3"/>
        <w:rPr>
          <w:rFonts w:eastAsia="Arial Unicode MS"/>
        </w:rPr>
      </w:pPr>
      <w:r w:rsidRPr="00663588">
        <w:rPr>
          <w:rFonts w:eastAsia="Arial Unicode MS"/>
        </w:rPr>
        <w:t xml:space="preserve">Répartition des dossiers </w:t>
      </w:r>
      <w:r w:rsidRPr="00A0171E">
        <w:rPr>
          <w:rStyle w:val="Titre3Car"/>
        </w:rPr>
        <w:t>octroyés</w:t>
      </w:r>
      <w:r w:rsidRPr="00663588">
        <w:rPr>
          <w:rFonts w:eastAsia="Arial Unicode MS"/>
        </w:rPr>
        <w:t xml:space="preserve"> selon la taille de l’entreprise</w:t>
      </w:r>
    </w:p>
    <w:p w14:paraId="550B169E" w14:textId="77777777" w:rsidR="00A0171E" w:rsidRDefault="00FA3FF1" w:rsidP="00A0171E">
      <w:pPr>
        <w:rPr>
          <w:rFonts w:eastAsia="Arial Unicode MS" w:cs="Arial"/>
          <w:b/>
          <w:sz w:val="24"/>
          <w:szCs w:val="24"/>
        </w:rPr>
      </w:pPr>
      <w:r>
        <w:rPr>
          <w:rFonts w:eastAsia="Arial Unicode MS" w:cs="Arial"/>
          <w:b/>
          <w:sz w:val="24"/>
          <w:szCs w:val="24"/>
        </w:rPr>
        <w:t xml:space="preserve">      </w:t>
      </w:r>
      <w:r w:rsidR="00A0171E">
        <w:rPr>
          <w:rFonts w:eastAsia="Arial Unicode MS" w:cs="Arial"/>
          <w:b/>
          <w:sz w:val="24"/>
          <w:szCs w:val="24"/>
        </w:rPr>
        <w:t xml:space="preserve">    </w:t>
      </w:r>
      <w:r>
        <w:rPr>
          <w:rFonts w:eastAsia="Arial Unicode MS" w:cs="Arial"/>
          <w:b/>
          <w:sz w:val="24"/>
          <w:szCs w:val="24"/>
        </w:rPr>
        <w:t xml:space="preserve"> </w:t>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256F83D1" w14:textId="77777777" w:rsidR="00FA3FF1" w:rsidRDefault="00A0171E" w:rsidP="00A0171E">
      <w:r>
        <w:t xml:space="preserve">Les aides « soft » ont principalement été octroyée aux micro entreprises. </w:t>
      </w:r>
    </w:p>
    <w:p w14:paraId="4220A94A" w14:textId="77777777" w:rsidR="00A0171E" w:rsidRPr="00A0171E" w:rsidRDefault="00A0171E" w:rsidP="00A0171E">
      <w:pPr>
        <w:rPr>
          <w:rFonts w:eastAsia="Arial Unicode MS" w:cs="Arial"/>
          <w:b/>
          <w:sz w:val="24"/>
          <w:szCs w:val="24"/>
        </w:rPr>
      </w:pPr>
      <w:r>
        <w:t>Cette analyse exclut les aides de pré-activité, accueil de la petite enfance, mise à disposition et recrutement ASBL pour lesquelles la taille de l’entreprise n’est pas d’application ou qui sont ouvertes au grandes entreprises également.</w:t>
      </w:r>
    </w:p>
    <w:p w14:paraId="7A0B56D8" w14:textId="77777777" w:rsidR="00A0171E" w:rsidRPr="00B313B6" w:rsidRDefault="00FA3FF1" w:rsidP="00B313B6">
      <w:pPr>
        <w:ind w:left="360"/>
        <w:rPr>
          <w:rFonts w:eastAsia="Arial Unicode MS" w:cs="Arial"/>
          <w:b/>
          <w:sz w:val="24"/>
          <w:szCs w:val="24"/>
        </w:rPr>
      </w:pPr>
      <w:r>
        <w:rPr>
          <w:noProof/>
          <w:color w:val="FF0000"/>
          <w:lang w:eastAsia="fr-BE"/>
        </w:rPr>
        <w:drawing>
          <wp:inline distT="0" distB="0" distL="0" distR="0" wp14:anchorId="05842CC3" wp14:editId="3AB5E23F">
            <wp:extent cx="5358809" cy="1786270"/>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0F89F1" w14:textId="77777777" w:rsidR="0013687D" w:rsidRDefault="0013687D">
      <w:pPr>
        <w:jc w:val="left"/>
        <w:rPr>
          <w:rFonts w:eastAsia="Arial Unicode MS" w:cstheme="majorBidi"/>
          <w:bCs/>
          <w:color w:val="0A00BE"/>
        </w:rPr>
      </w:pPr>
      <w:r>
        <w:rPr>
          <w:rFonts w:eastAsia="Arial Unicode MS"/>
        </w:rPr>
        <w:br w:type="page"/>
      </w:r>
    </w:p>
    <w:p w14:paraId="0F2BA491" w14:textId="77777777" w:rsidR="00FA3FF1" w:rsidRPr="00D541FD" w:rsidRDefault="00FA3FF1" w:rsidP="00A0171E">
      <w:pPr>
        <w:pStyle w:val="Titre3"/>
        <w:rPr>
          <w:rFonts w:eastAsia="Arial Unicode MS"/>
        </w:rPr>
      </w:pPr>
      <w:r w:rsidRPr="00D541FD">
        <w:rPr>
          <w:rFonts w:eastAsia="Arial Unicode MS"/>
        </w:rPr>
        <w:lastRenderedPageBreak/>
        <w:t>Répartition des primes octroyées selon le secteur d’activités (NACE BEL)</w:t>
      </w:r>
    </w:p>
    <w:p w14:paraId="18550321" w14:textId="77777777" w:rsidR="00FA3FF1" w:rsidRDefault="00FA3FF1" w:rsidP="00FA3FF1">
      <w:pPr>
        <w:rPr>
          <w:rFonts w:eastAsia="Arial Unicode MS" w:cs="Arial"/>
        </w:rPr>
      </w:pPr>
      <w:r>
        <w:rPr>
          <w:rFonts w:eastAsia="Arial Unicode MS" w:cs="Arial"/>
        </w:rPr>
        <w:t xml:space="preserve">        </w:t>
      </w:r>
      <w:r w:rsidR="00993DE9">
        <w:rPr>
          <w:rFonts w:eastAsia="Arial Unicode MS" w:cs="Arial"/>
        </w:rPr>
        <w:t xml:space="preserve">    </w:t>
      </w:r>
      <w:r w:rsidRPr="00D541FD">
        <w:rPr>
          <w:rFonts w:eastAsia="Arial Unicode MS" w:cs="Arial"/>
        </w:rPr>
        <w:t>(définition</w:t>
      </w:r>
      <w:r>
        <w:rPr>
          <w:rFonts w:eastAsia="Arial Unicode MS" w:cs="Arial"/>
        </w:rPr>
        <w:t xml:space="preserve"> des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1065C229" w14:textId="77777777" w:rsidR="00FA3FF1" w:rsidRDefault="00A0171E" w:rsidP="00A0171E">
      <w:pPr>
        <w:ind w:left="126"/>
        <w:rPr>
          <w:rFonts w:eastAsia="Arial Unicode MS" w:cs="Arial"/>
        </w:rPr>
      </w:pPr>
      <w:r>
        <w:rPr>
          <w:rFonts w:eastAsia="Arial Unicode MS" w:cs="Arial"/>
        </w:rPr>
        <w:t xml:space="preserve">Les aides « soft », à l’exception des aides </w:t>
      </w:r>
      <w:r w:rsidRPr="00262071">
        <w:rPr>
          <w:rFonts w:eastAsia="Arial Unicode MS" w:cs="Arial"/>
        </w:rPr>
        <w:t>pré-activité et recrutement ASBL</w:t>
      </w:r>
      <w:r>
        <w:rPr>
          <w:rFonts w:eastAsia="Arial Unicode MS" w:cs="Arial"/>
        </w:rPr>
        <w:t>, ont principalement bénéficié aux entreprises issues des secteurs « </w:t>
      </w:r>
      <w:r w:rsidRPr="00894AB4">
        <w:rPr>
          <w:rFonts w:eastAsia="Arial Unicode MS" w:cs="Arial"/>
        </w:rPr>
        <w:t>Activités spécialisées, scientifiques et techniques</w:t>
      </w:r>
      <w:r>
        <w:rPr>
          <w:rFonts w:eastAsia="Arial Unicode MS" w:cs="Arial"/>
        </w:rPr>
        <w:t> » et « Information et communication ».</w:t>
      </w:r>
    </w:p>
    <w:p w14:paraId="2AD66913" w14:textId="77777777" w:rsidR="00A0171E" w:rsidRPr="00262071" w:rsidRDefault="00A0171E" w:rsidP="00A0171E">
      <w:pPr>
        <w:ind w:left="126"/>
        <w:rPr>
          <w:rFonts w:eastAsia="Arial Unicode MS" w:cs="Arial"/>
        </w:rPr>
      </w:pPr>
      <w:r>
        <w:rPr>
          <w:rFonts w:eastAsia="Arial Unicode MS" w:cs="Arial"/>
        </w:rPr>
        <w:t>Cette analyse exclut les aides de pré-activité et de recrutement ASBL car ces bénéficiaires ne disposent pas d’un code NACEBEL.</w:t>
      </w:r>
    </w:p>
    <w:p w14:paraId="7E89D0FF" w14:textId="77777777" w:rsidR="00A0171E" w:rsidRDefault="00FA3FF1" w:rsidP="00B313B6">
      <w:pPr>
        <w:rPr>
          <w:rFonts w:eastAsiaTheme="majorEastAsia" w:cstheme="majorBidi"/>
          <w:bCs/>
          <w:color w:val="0A00BE"/>
          <w:sz w:val="26"/>
          <w:szCs w:val="26"/>
        </w:rPr>
      </w:pPr>
      <w:r>
        <w:rPr>
          <w:rFonts w:eastAsia="Arial Unicode MS" w:cs="Arial"/>
          <w:noProof/>
          <w:sz w:val="24"/>
          <w:lang w:eastAsia="fr-BE"/>
        </w:rPr>
        <w:drawing>
          <wp:inline distT="0" distB="0" distL="0" distR="0" wp14:anchorId="6EB56792" wp14:editId="40534054">
            <wp:extent cx="5645889" cy="2918213"/>
            <wp:effectExtent l="0" t="0" r="0" b="0"/>
            <wp:docPr id="9" name="Graphique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3" w:name="_Toc481048804"/>
      <w:r w:rsidR="00A0171E">
        <w:br w:type="page"/>
      </w:r>
    </w:p>
    <w:p w14:paraId="0823B157" w14:textId="77777777" w:rsidR="005C0B8D" w:rsidRPr="00AD11D4" w:rsidRDefault="005C0B8D" w:rsidP="005C0B8D">
      <w:pPr>
        <w:pStyle w:val="Titre2"/>
      </w:pPr>
      <w:r w:rsidRPr="00AD11D4">
        <w:lastRenderedPageBreak/>
        <w:t>Les aides pour les investissements généraux</w:t>
      </w:r>
      <w:bookmarkEnd w:id="13"/>
    </w:p>
    <w:p w14:paraId="5C56FCE4" w14:textId="77777777" w:rsidR="000D1FA2" w:rsidRDefault="000D1FA2" w:rsidP="000D1FA2">
      <w:pPr>
        <w:pStyle w:val="Titre3"/>
        <w:rPr>
          <w:rFonts w:eastAsia="Arial Unicode MS"/>
        </w:rPr>
      </w:pPr>
      <w:r>
        <w:rPr>
          <w:rFonts w:eastAsia="Arial Unicode MS"/>
        </w:rPr>
        <w:t>Vue </w:t>
      </w:r>
      <w:r w:rsidRPr="006B13D0">
        <w:rPr>
          <w:rFonts w:eastAsia="Arial Unicode MS"/>
        </w:rPr>
        <w:t>d’ensemble</w:t>
      </w:r>
    </w:p>
    <w:p w14:paraId="1030B011" w14:textId="77777777" w:rsidR="000D1FA2" w:rsidRPr="000D1FA2" w:rsidRDefault="000D1FA2" w:rsidP="000D1FA2">
      <w:r>
        <w:t>Les investissements généraux regroupent les subsides octroyés aux indépendants et PME pour des investissements immobilier, en matériel et incorporels, à des taux variables selon la taille de l’entreprise et de sa position relative à la zone de développement illustrée par la carte ci-dessous.</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1559"/>
        <w:gridCol w:w="1701"/>
        <w:gridCol w:w="1701"/>
        <w:gridCol w:w="1701"/>
      </w:tblGrid>
      <w:tr w:rsidR="000D1FA2" w:rsidRPr="00262071" w14:paraId="15E999AA" w14:textId="77777777" w:rsidTr="007F7DD5">
        <w:tc>
          <w:tcPr>
            <w:tcW w:w="2410" w:type="dxa"/>
            <w:tcBorders>
              <w:bottom w:val="single" w:sz="18" w:space="0" w:color="auto"/>
            </w:tcBorders>
            <w:shd w:val="clear" w:color="auto" w:fill="auto"/>
          </w:tcPr>
          <w:p w14:paraId="36DF2B9B" w14:textId="77777777" w:rsidR="000D1FA2" w:rsidRPr="00262071" w:rsidRDefault="000D1FA2" w:rsidP="007F7DD5">
            <w:pPr>
              <w:ind w:left="57"/>
              <w:jc w:val="center"/>
              <w:rPr>
                <w:rFonts w:eastAsia="Arial Unicode MS" w:cs="Arial"/>
                <w:bCs/>
              </w:rPr>
            </w:pPr>
            <w:r w:rsidRPr="00262071">
              <w:rPr>
                <w:rFonts w:eastAsia="Arial Unicode MS" w:cs="Arial"/>
                <w:bCs/>
              </w:rPr>
              <w:t>Nombre de</w:t>
            </w:r>
            <w:r>
              <w:rPr>
                <w:rFonts w:eastAsia="Arial Unicode MS" w:cs="Arial"/>
                <w:bCs/>
              </w:rPr>
              <w:t xml:space="preserve"> dossiers Introduits </w:t>
            </w:r>
          </w:p>
        </w:tc>
        <w:tc>
          <w:tcPr>
            <w:tcW w:w="1559" w:type="dxa"/>
            <w:tcBorders>
              <w:bottom w:val="single" w:sz="18" w:space="0" w:color="auto"/>
            </w:tcBorders>
            <w:shd w:val="clear" w:color="auto" w:fill="auto"/>
          </w:tcPr>
          <w:p w14:paraId="2A98B253" w14:textId="77777777" w:rsidR="000D1FA2" w:rsidRPr="00262071" w:rsidRDefault="000D1FA2" w:rsidP="007F7DD5">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701" w:type="dxa"/>
            <w:tcBorders>
              <w:bottom w:val="single" w:sz="18" w:space="0" w:color="auto"/>
            </w:tcBorders>
          </w:tcPr>
          <w:p w14:paraId="3EFDEBE6" w14:textId="77777777" w:rsidR="000D1FA2" w:rsidRPr="00262071" w:rsidRDefault="00993DE9" w:rsidP="00993DE9">
            <w:pPr>
              <w:ind w:left="57"/>
              <w:jc w:val="center"/>
              <w:rPr>
                <w:rFonts w:eastAsia="Arial Unicode MS" w:cs="Arial"/>
                <w:bCs/>
              </w:rPr>
            </w:pPr>
            <w:r>
              <w:rPr>
                <w:rFonts w:eastAsia="Arial Unicode MS" w:cs="Arial"/>
                <w:bCs/>
              </w:rPr>
              <w:t>Décidés</w:t>
            </w:r>
            <w:r>
              <w:rPr>
                <w:rFonts w:eastAsia="Arial Unicode MS" w:cs="Arial"/>
                <w:bCs/>
              </w:rPr>
              <w:br/>
              <w:t>octrois</w:t>
            </w:r>
          </w:p>
        </w:tc>
        <w:tc>
          <w:tcPr>
            <w:tcW w:w="1701" w:type="dxa"/>
            <w:tcBorders>
              <w:bottom w:val="single" w:sz="18" w:space="0" w:color="auto"/>
            </w:tcBorders>
          </w:tcPr>
          <w:p w14:paraId="2E4FB6EA" w14:textId="77777777" w:rsidR="000D1FA2" w:rsidRPr="00262071" w:rsidRDefault="00993DE9" w:rsidP="00993DE9">
            <w:pPr>
              <w:ind w:left="57"/>
              <w:jc w:val="center"/>
              <w:rPr>
                <w:rFonts w:eastAsia="Arial Unicode MS" w:cs="Arial"/>
                <w:bCs/>
              </w:rPr>
            </w:pPr>
            <w:r>
              <w:rPr>
                <w:rFonts w:eastAsia="Arial Unicode MS" w:cs="Arial"/>
                <w:bCs/>
              </w:rPr>
              <w:t>Décidés</w:t>
            </w:r>
            <w:r>
              <w:rPr>
                <w:rFonts w:eastAsia="Arial Unicode MS" w:cs="Arial"/>
                <w:bCs/>
              </w:rPr>
              <w:br/>
              <w:t>refus</w:t>
            </w:r>
          </w:p>
        </w:tc>
        <w:tc>
          <w:tcPr>
            <w:tcW w:w="1701" w:type="dxa"/>
            <w:tcBorders>
              <w:bottom w:val="single" w:sz="18" w:space="0" w:color="auto"/>
            </w:tcBorders>
            <w:shd w:val="clear" w:color="auto" w:fill="auto"/>
          </w:tcPr>
          <w:p w14:paraId="4328F91D" w14:textId="77777777" w:rsidR="000D1FA2" w:rsidRPr="00262071" w:rsidRDefault="000D1FA2" w:rsidP="007F7DD5">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0D1FA2" w:rsidRPr="0015242D" w14:paraId="70A2F016" w14:textId="77777777" w:rsidTr="007F7DD5">
        <w:tc>
          <w:tcPr>
            <w:tcW w:w="2410" w:type="dxa"/>
            <w:tcBorders>
              <w:top w:val="single" w:sz="18" w:space="0" w:color="auto"/>
              <w:bottom w:val="single" w:sz="18" w:space="0" w:color="auto"/>
            </w:tcBorders>
            <w:shd w:val="clear" w:color="auto" w:fill="auto"/>
          </w:tcPr>
          <w:p w14:paraId="3DB8D737" w14:textId="77777777" w:rsidR="000D1FA2" w:rsidRDefault="000D1FA2" w:rsidP="007F7DD5">
            <w:pPr>
              <w:jc w:val="center"/>
              <w:rPr>
                <w:rFonts w:eastAsia="Arial Unicode MS" w:cs="Arial"/>
                <w:bCs/>
              </w:rPr>
            </w:pPr>
          </w:p>
          <w:p w14:paraId="77252541" w14:textId="77777777" w:rsidR="000D1FA2" w:rsidRPr="00262071" w:rsidRDefault="00AD11D4" w:rsidP="007F7DD5">
            <w:pPr>
              <w:jc w:val="center"/>
              <w:rPr>
                <w:rFonts w:eastAsia="Arial Unicode MS" w:cs="Arial"/>
                <w:bCs/>
              </w:rPr>
            </w:pPr>
            <w:r>
              <w:rPr>
                <w:rFonts w:eastAsia="Arial Unicode MS" w:cs="Arial"/>
                <w:bCs/>
              </w:rPr>
              <w:t>762</w:t>
            </w:r>
          </w:p>
        </w:tc>
        <w:tc>
          <w:tcPr>
            <w:tcW w:w="1559" w:type="dxa"/>
            <w:tcBorders>
              <w:top w:val="single" w:sz="18" w:space="0" w:color="auto"/>
              <w:bottom w:val="single" w:sz="18" w:space="0" w:color="auto"/>
            </w:tcBorders>
            <w:shd w:val="clear" w:color="auto" w:fill="auto"/>
          </w:tcPr>
          <w:p w14:paraId="67132B5E" w14:textId="77777777" w:rsidR="000D1FA2" w:rsidRDefault="000D1FA2" w:rsidP="007F7DD5">
            <w:pPr>
              <w:jc w:val="center"/>
              <w:rPr>
                <w:rFonts w:eastAsia="Arial Unicode MS" w:cs="Arial"/>
                <w:bCs/>
              </w:rPr>
            </w:pPr>
          </w:p>
          <w:p w14:paraId="65739F9F" w14:textId="77777777" w:rsidR="00AD11D4" w:rsidRPr="00262071" w:rsidRDefault="00AD11D4" w:rsidP="007F7DD5">
            <w:pPr>
              <w:jc w:val="center"/>
              <w:rPr>
                <w:rFonts w:eastAsia="Arial Unicode MS" w:cs="Arial"/>
                <w:bCs/>
              </w:rPr>
            </w:pPr>
            <w:r>
              <w:rPr>
                <w:rFonts w:eastAsia="Arial Unicode MS" w:cs="Arial"/>
                <w:bCs/>
              </w:rPr>
              <w:t>602</w:t>
            </w:r>
          </w:p>
        </w:tc>
        <w:tc>
          <w:tcPr>
            <w:tcW w:w="1701" w:type="dxa"/>
            <w:tcBorders>
              <w:top w:val="single" w:sz="18" w:space="0" w:color="auto"/>
              <w:bottom w:val="single" w:sz="18" w:space="0" w:color="auto"/>
            </w:tcBorders>
          </w:tcPr>
          <w:p w14:paraId="1FBF74E0" w14:textId="77777777" w:rsidR="000D1FA2" w:rsidRDefault="000D1FA2" w:rsidP="007F7DD5">
            <w:pPr>
              <w:jc w:val="center"/>
              <w:rPr>
                <w:rFonts w:eastAsia="Arial Unicode MS" w:cs="Arial"/>
                <w:bCs/>
              </w:rPr>
            </w:pPr>
          </w:p>
          <w:p w14:paraId="0EF36E40" w14:textId="77777777" w:rsidR="00AD11D4" w:rsidRPr="00262071" w:rsidRDefault="00AD11D4" w:rsidP="00AD11D4">
            <w:pPr>
              <w:jc w:val="center"/>
              <w:rPr>
                <w:rFonts w:eastAsia="Arial Unicode MS" w:cs="Arial"/>
                <w:bCs/>
              </w:rPr>
            </w:pPr>
            <w:r>
              <w:rPr>
                <w:rFonts w:eastAsia="Arial Unicode MS" w:cs="Arial"/>
                <w:bCs/>
              </w:rPr>
              <w:t>403</w:t>
            </w:r>
          </w:p>
        </w:tc>
        <w:tc>
          <w:tcPr>
            <w:tcW w:w="1701" w:type="dxa"/>
            <w:tcBorders>
              <w:top w:val="single" w:sz="18" w:space="0" w:color="auto"/>
              <w:bottom w:val="single" w:sz="18" w:space="0" w:color="auto"/>
            </w:tcBorders>
          </w:tcPr>
          <w:p w14:paraId="2BD93B8F" w14:textId="77777777" w:rsidR="000D1FA2" w:rsidRDefault="000D1FA2" w:rsidP="007F7DD5">
            <w:pPr>
              <w:jc w:val="center"/>
              <w:rPr>
                <w:rFonts w:eastAsia="Arial Unicode MS" w:cs="Arial"/>
                <w:bCs/>
              </w:rPr>
            </w:pPr>
          </w:p>
          <w:p w14:paraId="47CE9A2A" w14:textId="77777777" w:rsidR="000D1FA2" w:rsidRPr="00262071" w:rsidRDefault="000D1FA2" w:rsidP="00AD11D4">
            <w:pPr>
              <w:jc w:val="center"/>
              <w:rPr>
                <w:rFonts w:eastAsia="Arial Unicode MS" w:cs="Arial"/>
                <w:bCs/>
              </w:rPr>
            </w:pPr>
            <w:r>
              <w:rPr>
                <w:rFonts w:eastAsia="Arial Unicode MS" w:cs="Arial"/>
                <w:bCs/>
              </w:rPr>
              <w:t>1</w:t>
            </w:r>
            <w:r w:rsidR="00AD11D4">
              <w:rPr>
                <w:rFonts w:eastAsia="Arial Unicode MS" w:cs="Arial"/>
                <w:bCs/>
              </w:rPr>
              <w:t>99</w:t>
            </w:r>
          </w:p>
        </w:tc>
        <w:tc>
          <w:tcPr>
            <w:tcW w:w="1701" w:type="dxa"/>
            <w:tcBorders>
              <w:top w:val="single" w:sz="18" w:space="0" w:color="auto"/>
              <w:bottom w:val="single" w:sz="18" w:space="0" w:color="auto"/>
            </w:tcBorders>
            <w:shd w:val="clear" w:color="auto" w:fill="auto"/>
          </w:tcPr>
          <w:p w14:paraId="5BFD2675" w14:textId="77777777" w:rsidR="000D1FA2" w:rsidRDefault="000D1FA2" w:rsidP="007F7DD5">
            <w:pPr>
              <w:jc w:val="center"/>
              <w:rPr>
                <w:rFonts w:eastAsia="Arial Unicode MS" w:cs="Arial"/>
                <w:bCs/>
              </w:rPr>
            </w:pPr>
          </w:p>
          <w:p w14:paraId="19B9313F" w14:textId="77777777" w:rsidR="000D1FA2" w:rsidRPr="00262071" w:rsidRDefault="000D1FA2" w:rsidP="00AD11D4">
            <w:pPr>
              <w:jc w:val="center"/>
              <w:rPr>
                <w:rFonts w:eastAsia="Arial Unicode MS" w:cs="Arial"/>
                <w:bCs/>
              </w:rPr>
            </w:pPr>
            <w:r>
              <w:rPr>
                <w:rFonts w:eastAsia="Arial Unicode MS" w:cs="Arial"/>
                <w:bCs/>
              </w:rPr>
              <w:t>1</w:t>
            </w:r>
            <w:r w:rsidR="00AD11D4">
              <w:rPr>
                <w:rFonts w:eastAsia="Arial Unicode MS" w:cs="Arial"/>
                <w:bCs/>
              </w:rPr>
              <w:t>6.481.627</w:t>
            </w:r>
          </w:p>
        </w:tc>
      </w:tr>
    </w:tbl>
    <w:p w14:paraId="35E170A8" w14:textId="77777777" w:rsidR="000D1FA2" w:rsidRDefault="000D1FA2" w:rsidP="000D1FA2">
      <w:pPr>
        <w:pStyle w:val="Titre3"/>
        <w:numPr>
          <w:ilvl w:val="0"/>
          <w:numId w:val="0"/>
        </w:numPr>
        <w:ind w:left="720" w:hanging="720"/>
        <w:rPr>
          <w:rFonts w:eastAsia="Arial Unicode MS"/>
        </w:rPr>
      </w:pPr>
    </w:p>
    <w:p w14:paraId="24ABAFD4" w14:textId="77777777" w:rsidR="000D1FA2" w:rsidRPr="000D1FA2" w:rsidRDefault="000D1FA2" w:rsidP="000D1FA2">
      <w:r>
        <w:rPr>
          <w:rFonts w:cs="Arial"/>
          <w:noProof/>
          <w:lang w:eastAsia="fr-BE"/>
        </w:rPr>
        <w:drawing>
          <wp:inline distT="0" distB="0" distL="0" distR="0" wp14:anchorId="54D7ACC2" wp14:editId="710B6AEF">
            <wp:extent cx="5759450" cy="1144361"/>
            <wp:effectExtent l="0" t="0" r="0" b="0"/>
            <wp:docPr id="1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8526D7" w14:textId="77777777" w:rsidR="002C7F60" w:rsidRDefault="002C7F60" w:rsidP="000D1FA2">
      <w:pPr>
        <w:pStyle w:val="Titre3"/>
        <w:rPr>
          <w:rFonts w:eastAsia="Arial Unicode MS"/>
        </w:rPr>
      </w:pPr>
      <w:r>
        <w:rPr>
          <w:rFonts w:eastAsia="Arial Unicode MS"/>
        </w:rPr>
        <w:lastRenderedPageBreak/>
        <w:t>Carte de la zone de développement</w:t>
      </w:r>
    </w:p>
    <w:p w14:paraId="342FE33E" w14:textId="77777777" w:rsidR="0019242A" w:rsidRPr="0019242A" w:rsidRDefault="005772DF" w:rsidP="0019242A">
      <w:r>
        <w:rPr>
          <w:noProof/>
          <w:lang w:eastAsia="fr-BE"/>
        </w:rPr>
        <w:drawing>
          <wp:inline distT="0" distB="0" distL="0" distR="0" wp14:anchorId="5E125892" wp14:editId="00DCBBB9">
            <wp:extent cx="5759450" cy="4704308"/>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704308"/>
                    </a:xfrm>
                    <a:prstGeom prst="rect">
                      <a:avLst/>
                    </a:prstGeom>
                    <a:noFill/>
                    <a:ln>
                      <a:noFill/>
                    </a:ln>
                  </pic:spPr>
                </pic:pic>
              </a:graphicData>
            </a:graphic>
          </wp:inline>
        </w:drawing>
      </w:r>
    </w:p>
    <w:p w14:paraId="2C2D92E6" w14:textId="77777777" w:rsidR="000D1FA2" w:rsidRPr="00262071" w:rsidRDefault="000D1FA2" w:rsidP="000D1FA2">
      <w:pPr>
        <w:pStyle w:val="Titre3"/>
        <w:rPr>
          <w:rFonts w:eastAsia="Arial Unicode MS"/>
        </w:rPr>
      </w:pPr>
      <w:r w:rsidRPr="00262071">
        <w:rPr>
          <w:rFonts w:eastAsia="Arial Unicode MS"/>
        </w:rPr>
        <w:t>Bases légales</w:t>
      </w:r>
    </w:p>
    <w:p w14:paraId="6B693F12" w14:textId="77777777" w:rsidR="000D1FA2" w:rsidRPr="00262071" w:rsidRDefault="000D1FA2" w:rsidP="000D1FA2">
      <w:pPr>
        <w:rPr>
          <w:rFonts w:eastAsia="Arial Unicode MS" w:cs="Arial"/>
        </w:rPr>
      </w:pPr>
      <w:r w:rsidRPr="00262071">
        <w:rPr>
          <w:rFonts w:eastAsia="Arial Unicode MS" w:cs="Arial"/>
        </w:rPr>
        <w:t>Ordonnance organique du 13/12/2007 relative aux aides pour la promotion de l’expansion économique (MB du 10/01/2008).</w:t>
      </w:r>
    </w:p>
    <w:p w14:paraId="3FA57440" w14:textId="77777777" w:rsidR="000D1FA2" w:rsidRDefault="000D1FA2" w:rsidP="000D1FA2">
      <w:pPr>
        <w:rPr>
          <w:rFonts w:eastAsia="Arial Unicode MS" w:cs="Arial"/>
        </w:rPr>
      </w:pPr>
      <w:r w:rsidRPr="00262071">
        <w:rPr>
          <w:rFonts w:eastAsia="Arial Unicode MS" w:cs="Arial"/>
        </w:rPr>
        <w:t>Arrêté du Gouvernement de la Région de Bruxelles-Capitale du 26/06/2008 (MB du 14/08/2008) relatif aux aides pour les investissement généraux.</w:t>
      </w:r>
    </w:p>
    <w:p w14:paraId="49698581" w14:textId="77777777" w:rsidR="00993DE9" w:rsidRDefault="00993DE9" w:rsidP="00993DE9">
      <w:pPr>
        <w:pStyle w:val="Titre3"/>
        <w:rPr>
          <w:rFonts w:eastAsia="Arial Unicode MS"/>
        </w:rPr>
      </w:pPr>
      <w:r>
        <w:rPr>
          <w:rFonts w:eastAsia="Arial Unicode MS"/>
        </w:rPr>
        <w:t>Constatations</w:t>
      </w:r>
    </w:p>
    <w:p w14:paraId="70337FED" w14:textId="77777777" w:rsidR="00993DE9" w:rsidRDefault="00993DE9" w:rsidP="00993DE9">
      <w:pPr>
        <w:rPr>
          <w:rFonts w:eastAsia="Arial Unicode MS" w:cs="Arial"/>
        </w:rPr>
      </w:pPr>
      <w:r>
        <w:rPr>
          <w:rFonts w:eastAsia="Arial Unicode MS" w:cs="Arial"/>
        </w:rPr>
        <w:t xml:space="preserve">En </w:t>
      </w:r>
      <w:r w:rsidR="00AD11D4">
        <w:rPr>
          <w:rFonts w:eastAsia="Arial Unicode MS" w:cs="Arial"/>
        </w:rPr>
        <w:t>2017</w:t>
      </w:r>
      <w:r>
        <w:rPr>
          <w:rFonts w:eastAsia="Arial Unicode MS" w:cs="Arial"/>
        </w:rPr>
        <w:t xml:space="preserve">, </w:t>
      </w:r>
      <w:r w:rsidR="00AD11D4">
        <w:rPr>
          <w:rFonts w:eastAsia="Arial Unicode MS" w:cs="Arial"/>
        </w:rPr>
        <w:t>602</w:t>
      </w:r>
      <w:r w:rsidRPr="00262071">
        <w:rPr>
          <w:rFonts w:eastAsia="Arial Unicode MS" w:cs="Arial"/>
        </w:rPr>
        <w:t xml:space="preserve"> dossiers ont fait l’objet d’une décision, dont </w:t>
      </w:r>
      <w:r w:rsidR="00AD11D4">
        <w:rPr>
          <w:rFonts w:eastAsia="Arial Unicode MS" w:cs="Arial"/>
        </w:rPr>
        <w:t>403</w:t>
      </w:r>
      <w:r w:rsidRPr="00262071">
        <w:rPr>
          <w:rFonts w:eastAsia="Arial Unicode MS" w:cs="Arial"/>
        </w:rPr>
        <w:t xml:space="preserve"> positives (</w:t>
      </w:r>
      <w:r>
        <w:rPr>
          <w:rFonts w:eastAsia="Arial Unicode MS" w:cs="Arial"/>
        </w:rPr>
        <w:t>6</w:t>
      </w:r>
      <w:r w:rsidR="00AD11D4">
        <w:rPr>
          <w:rFonts w:eastAsia="Arial Unicode MS" w:cs="Arial"/>
        </w:rPr>
        <w:t>6,94</w:t>
      </w:r>
      <w:r>
        <w:rPr>
          <w:rFonts w:eastAsia="Arial Unicode MS" w:cs="Arial"/>
        </w:rPr>
        <w:t>% des demandes).</w:t>
      </w:r>
    </w:p>
    <w:p w14:paraId="02BF8DAE" w14:textId="77777777" w:rsidR="00993DE9" w:rsidRPr="00262071" w:rsidRDefault="00993DE9" w:rsidP="00993DE9">
      <w:pPr>
        <w:rPr>
          <w:rFonts w:eastAsia="Arial Unicode MS" w:cs="Arial"/>
        </w:rPr>
      </w:pPr>
      <w:r>
        <w:rPr>
          <w:rFonts w:eastAsia="Arial Unicode MS" w:cs="Arial"/>
        </w:rPr>
        <w:t>Comparativement à l’année précédente, on observe une croissance</w:t>
      </w:r>
      <w:r w:rsidR="00AD11D4">
        <w:rPr>
          <w:rFonts w:eastAsia="Arial Unicode MS" w:cs="Arial"/>
        </w:rPr>
        <w:t xml:space="preserve"> significative</w:t>
      </w:r>
      <w:r>
        <w:rPr>
          <w:rFonts w:eastAsia="Arial Unicode MS" w:cs="Arial"/>
        </w:rPr>
        <w:t xml:space="preserve"> du</w:t>
      </w:r>
      <w:r w:rsidR="00AD11D4">
        <w:rPr>
          <w:rFonts w:eastAsia="Arial Unicode MS" w:cs="Arial"/>
        </w:rPr>
        <w:t xml:space="preserve"> nombre de dossiers traités de 15,33%, directement liée à l’augmentation du nombre de dossiers introduits (+12,39%). Le taux de refus</w:t>
      </w:r>
      <w:r w:rsidR="009A174E">
        <w:rPr>
          <w:rStyle w:val="Appelnotedebasdep"/>
          <w:rFonts w:eastAsia="Arial Unicode MS" w:cs="Arial"/>
        </w:rPr>
        <w:footnoteReference w:id="1"/>
      </w:r>
      <w:r w:rsidR="00AD11D4">
        <w:rPr>
          <w:rFonts w:eastAsia="Arial Unicode MS" w:cs="Arial"/>
        </w:rPr>
        <w:t xml:space="preserve"> reste relativement stable, passant de 36,4% en 2016 à 33,06% en 2017.</w:t>
      </w:r>
    </w:p>
    <w:p w14:paraId="09AAF2F4" w14:textId="77777777" w:rsidR="005772DF" w:rsidRDefault="005772DF">
      <w:pPr>
        <w:jc w:val="left"/>
        <w:rPr>
          <w:rFonts w:eastAsia="Arial Unicode MS" w:cstheme="majorBidi"/>
          <w:bCs/>
          <w:color w:val="0A00BE"/>
        </w:rPr>
      </w:pPr>
      <w:r>
        <w:rPr>
          <w:rFonts w:eastAsia="Arial Unicode MS"/>
        </w:rPr>
        <w:br w:type="page"/>
      </w:r>
    </w:p>
    <w:p w14:paraId="7E372A98" w14:textId="77777777" w:rsidR="000D1FA2" w:rsidRDefault="000D1FA2" w:rsidP="000D1FA2">
      <w:pPr>
        <w:pStyle w:val="Titre3"/>
        <w:rPr>
          <w:rFonts w:eastAsia="Arial Unicode MS"/>
        </w:rPr>
      </w:pPr>
      <w:r w:rsidRPr="00B87A7C">
        <w:rPr>
          <w:rFonts w:eastAsia="Arial Unicode MS"/>
        </w:rPr>
        <w:lastRenderedPageBreak/>
        <w:t xml:space="preserve">Répartition des </w:t>
      </w:r>
      <w:r>
        <w:rPr>
          <w:rFonts w:eastAsia="Arial Unicode MS"/>
        </w:rPr>
        <w:t>dossiers</w:t>
      </w:r>
      <w:r w:rsidRPr="00B87A7C">
        <w:rPr>
          <w:rFonts w:eastAsia="Arial Unicode MS"/>
        </w:rPr>
        <w:t> : zone de développement / hors zone</w:t>
      </w:r>
    </w:p>
    <w:p w14:paraId="256A03A5" w14:textId="77777777" w:rsidR="002C7F60" w:rsidRDefault="002C7F60" w:rsidP="002C7F60">
      <w:r>
        <w:t>La majorité des aides octroyées pour les investissement</w:t>
      </w:r>
      <w:r w:rsidR="00F208E9">
        <w:t>s</w:t>
      </w:r>
      <w:r>
        <w:t xml:space="preserve"> généraux a bénéficié à des entreprises situées hors de la zone de développement.</w:t>
      </w:r>
    </w:p>
    <w:p w14:paraId="6F1A9400" w14:textId="77777777" w:rsidR="002C7F60" w:rsidRPr="002C7F60" w:rsidRDefault="002C7F60" w:rsidP="002C7F60">
      <w:r>
        <w:rPr>
          <w:rFonts w:cs="Arial"/>
          <w:noProof/>
          <w:lang w:eastAsia="fr-BE"/>
        </w:rPr>
        <w:drawing>
          <wp:inline distT="0" distB="0" distL="0" distR="0" wp14:anchorId="2F1A6427" wp14:editId="2280EBA3">
            <wp:extent cx="5759450" cy="1558971"/>
            <wp:effectExtent l="0" t="0" r="0" b="0"/>
            <wp:docPr id="2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ACB3A4" w14:textId="77777777" w:rsidR="000D1FA2" w:rsidRDefault="000D1FA2" w:rsidP="002C7F60">
      <w:pPr>
        <w:pStyle w:val="Titre3"/>
        <w:rPr>
          <w:rFonts w:eastAsia="Arial Unicode MS"/>
        </w:rPr>
      </w:pPr>
      <w:r w:rsidRPr="00B87A7C">
        <w:rPr>
          <w:rFonts w:eastAsia="Arial Unicode MS"/>
        </w:rPr>
        <w:t xml:space="preserve">Répartition des </w:t>
      </w:r>
      <w:r>
        <w:rPr>
          <w:rFonts w:eastAsia="Arial Unicode MS"/>
        </w:rPr>
        <w:t>dossiers</w:t>
      </w:r>
      <w:r w:rsidRPr="00B87A7C">
        <w:rPr>
          <w:rFonts w:eastAsia="Arial Unicode MS"/>
        </w:rPr>
        <w:t> : starter (création &lt;4 ans) / non starter</w:t>
      </w:r>
    </w:p>
    <w:p w14:paraId="21748D4C" w14:textId="77777777" w:rsidR="002C7F60" w:rsidRPr="002C7F60" w:rsidRDefault="00A503C4" w:rsidP="002C7F60">
      <w:r>
        <w:t>53</w:t>
      </w:r>
      <w:r w:rsidR="00993DE9">
        <w:t>% des demandes introduites l’ont été par des entreprises de plus de 4 ans.</w:t>
      </w:r>
    </w:p>
    <w:p w14:paraId="0F5D539C" w14:textId="77777777" w:rsidR="002C7F60" w:rsidRPr="002C7F60" w:rsidRDefault="002C7F60" w:rsidP="002C7F60">
      <w:r>
        <w:rPr>
          <w:rFonts w:cs="Arial"/>
          <w:noProof/>
          <w:lang w:eastAsia="fr-BE"/>
        </w:rPr>
        <w:drawing>
          <wp:inline distT="0" distB="0" distL="0" distR="0" wp14:anchorId="46DC856C" wp14:editId="14F76115">
            <wp:extent cx="5759450" cy="1257627"/>
            <wp:effectExtent l="0" t="0" r="0" b="0"/>
            <wp:docPr id="21"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5D4797" w14:textId="77777777" w:rsidR="000D1FA2" w:rsidRPr="006B13D0" w:rsidRDefault="000D1FA2" w:rsidP="002C7F60">
      <w:pPr>
        <w:pStyle w:val="Titre3"/>
        <w:rPr>
          <w:rFonts w:eastAsia="Arial Unicode MS"/>
        </w:rPr>
      </w:pPr>
      <w:r w:rsidRPr="006B13D0">
        <w:rPr>
          <w:rFonts w:eastAsia="Arial Unicode MS"/>
        </w:rPr>
        <w:t xml:space="preserve">Répartition des </w:t>
      </w:r>
      <w:r>
        <w:rPr>
          <w:rFonts w:eastAsia="Arial Unicode MS"/>
        </w:rPr>
        <w:t>dossiers</w:t>
      </w:r>
      <w:r w:rsidRPr="006B13D0">
        <w:rPr>
          <w:rFonts w:eastAsia="Arial Unicode MS"/>
        </w:rPr>
        <w:t xml:space="preserve"> selon la taille de l’entreprise</w:t>
      </w:r>
    </w:p>
    <w:p w14:paraId="37901D02" w14:textId="77777777" w:rsidR="000D1FA2" w:rsidRDefault="000D1FA2" w:rsidP="000D1FA2">
      <w:pPr>
        <w:rPr>
          <w:rFonts w:eastAsia="Arial Unicode MS" w:cs="Arial"/>
        </w:rPr>
      </w:pPr>
      <w:r>
        <w:rPr>
          <w:rFonts w:eastAsia="Arial Unicode MS" w:cs="Arial"/>
        </w:rPr>
        <w:t xml:space="preserve">      </w:t>
      </w:r>
      <w:r w:rsidR="00993DE9">
        <w:rPr>
          <w:rFonts w:eastAsia="Arial Unicode MS" w:cs="Arial"/>
        </w:rPr>
        <w:t xml:space="preserve">     </w:t>
      </w:r>
      <w:r>
        <w:rPr>
          <w:rFonts w:eastAsia="Arial Unicode MS" w:cs="Arial"/>
        </w:rPr>
        <w:t xml:space="preserve"> </w:t>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2EB5B590" w14:textId="77777777" w:rsidR="00993DE9" w:rsidRDefault="00751D35" w:rsidP="000D1FA2">
      <w:pPr>
        <w:rPr>
          <w:rFonts w:eastAsia="Arial Unicode MS" w:cs="Arial"/>
        </w:rPr>
      </w:pPr>
      <w:r>
        <w:rPr>
          <w:rFonts w:eastAsia="Arial Unicode MS" w:cs="Arial"/>
        </w:rPr>
        <w:t xml:space="preserve">Ce sont principalement les micro entreprises qui ont demandé un subside à l’investissement en </w:t>
      </w:r>
      <w:r w:rsidR="002E421B">
        <w:rPr>
          <w:rFonts w:eastAsia="Arial Unicode MS" w:cs="Arial"/>
        </w:rPr>
        <w:t>2017</w:t>
      </w:r>
      <w:r>
        <w:rPr>
          <w:rFonts w:eastAsia="Arial Unicode MS" w:cs="Arial"/>
        </w:rPr>
        <w:t>.</w:t>
      </w:r>
    </w:p>
    <w:p w14:paraId="0C031501" w14:textId="77777777" w:rsidR="00993DE9" w:rsidRDefault="00993DE9" w:rsidP="000D1FA2">
      <w:pPr>
        <w:rPr>
          <w:rFonts w:eastAsia="Arial Unicode MS" w:cs="Arial"/>
          <w:b/>
          <w:u w:val="single"/>
        </w:rPr>
      </w:pPr>
      <w:r>
        <w:rPr>
          <w:rFonts w:cs="Arial"/>
          <w:noProof/>
          <w:lang w:eastAsia="fr-BE"/>
        </w:rPr>
        <w:drawing>
          <wp:inline distT="0" distB="0" distL="0" distR="0" wp14:anchorId="71542084" wp14:editId="43706981">
            <wp:extent cx="5759450" cy="1392299"/>
            <wp:effectExtent l="0" t="0" r="0" b="0"/>
            <wp:docPr id="22"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4989F9" w14:textId="77777777" w:rsidR="0019242A" w:rsidRDefault="0019242A">
      <w:pPr>
        <w:jc w:val="left"/>
        <w:rPr>
          <w:rFonts w:eastAsia="Arial Unicode MS" w:cstheme="majorBidi"/>
          <w:bCs/>
          <w:color w:val="0A00BE"/>
        </w:rPr>
      </w:pPr>
      <w:r>
        <w:rPr>
          <w:rFonts w:eastAsia="Arial Unicode MS"/>
        </w:rPr>
        <w:br w:type="page"/>
      </w:r>
    </w:p>
    <w:p w14:paraId="393F01A7" w14:textId="77777777" w:rsidR="000D1FA2" w:rsidRPr="006B13D0" w:rsidRDefault="000D1FA2" w:rsidP="002C7F60">
      <w:pPr>
        <w:pStyle w:val="Titre3"/>
        <w:rPr>
          <w:rFonts w:eastAsia="Arial Unicode MS"/>
        </w:rPr>
      </w:pPr>
      <w:r w:rsidRPr="006B13D0">
        <w:rPr>
          <w:rFonts w:eastAsia="Arial Unicode MS"/>
        </w:rPr>
        <w:lastRenderedPageBreak/>
        <w:t xml:space="preserve">Répartition des primes octroyées selon le secteur d’activités (NACE BEL) </w:t>
      </w:r>
    </w:p>
    <w:p w14:paraId="412F4899" w14:textId="77777777" w:rsidR="000D1FA2" w:rsidRDefault="000D1FA2" w:rsidP="000D1FA2">
      <w:pPr>
        <w:rPr>
          <w:rFonts w:eastAsia="Arial Unicode MS" w:cs="Arial"/>
        </w:rPr>
      </w:pPr>
      <w:r>
        <w:rPr>
          <w:rFonts w:eastAsia="Arial Unicode MS" w:cs="Arial"/>
        </w:rPr>
        <w:t xml:space="preserve">    </w:t>
      </w:r>
      <w:r w:rsidR="00993DE9">
        <w:rPr>
          <w:rFonts w:eastAsia="Arial Unicode MS" w:cs="Arial"/>
        </w:rPr>
        <w:t xml:space="preserve">      </w:t>
      </w:r>
      <w:r>
        <w:rPr>
          <w:rFonts w:eastAsia="Arial Unicode MS" w:cs="Arial"/>
        </w:rPr>
        <w:t xml:space="preserve">  </w:t>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4E00E2C2" w14:textId="77777777" w:rsidR="00751D35" w:rsidRPr="003C48D1" w:rsidRDefault="003C199A" w:rsidP="000D1FA2">
      <w:pPr>
        <w:rPr>
          <w:rFonts w:eastAsia="Arial Unicode MS" w:cs="Arial"/>
        </w:rPr>
      </w:pPr>
      <w:r w:rsidRPr="003C48D1">
        <w:rPr>
          <w:rFonts w:eastAsia="Arial Unicode MS" w:cs="Arial"/>
        </w:rPr>
        <w:t xml:space="preserve">Les primes octroyées en </w:t>
      </w:r>
      <w:r w:rsidR="00EB577C">
        <w:rPr>
          <w:rFonts w:eastAsia="Arial Unicode MS" w:cs="Arial"/>
        </w:rPr>
        <w:t>2017</w:t>
      </w:r>
      <w:r w:rsidRPr="003C48D1">
        <w:rPr>
          <w:rFonts w:eastAsia="Arial Unicode MS" w:cs="Arial"/>
        </w:rPr>
        <w:t xml:space="preserve"> ont principalement bénéficié aux secteurs </w:t>
      </w:r>
      <w:r w:rsidR="00EB577C">
        <w:rPr>
          <w:rFonts w:eastAsia="Arial Unicode MS" w:cs="Arial"/>
        </w:rPr>
        <w:t>de l’HO.RE.CA (32,37%) et du Commerce (27,96%)</w:t>
      </w:r>
      <w:r w:rsidRPr="003C48D1">
        <w:rPr>
          <w:rFonts w:eastAsia="Arial Unicode MS" w:cs="Arial"/>
        </w:rPr>
        <w:t>.</w:t>
      </w:r>
    </w:p>
    <w:p w14:paraId="130809C4" w14:textId="77777777" w:rsidR="00A0171E" w:rsidRPr="00A0171E" w:rsidRDefault="003C199A" w:rsidP="000D1FA2">
      <w:r>
        <w:rPr>
          <w:rFonts w:eastAsia="Arial Unicode MS" w:cs="Arial"/>
          <w:noProof/>
          <w:lang w:eastAsia="fr-BE"/>
        </w:rPr>
        <w:drawing>
          <wp:inline distT="0" distB="0" distL="0" distR="0" wp14:anchorId="4A8C55F3" wp14:editId="04CA2E30">
            <wp:extent cx="5759450" cy="3326415"/>
            <wp:effectExtent l="0" t="0" r="0" b="0"/>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6B5D26" w14:textId="77777777" w:rsidR="003C48D1" w:rsidRDefault="003C48D1">
      <w:pPr>
        <w:jc w:val="left"/>
        <w:rPr>
          <w:rFonts w:eastAsiaTheme="majorEastAsia" w:cstheme="majorBidi"/>
          <w:bCs/>
          <w:color w:val="0A00BE"/>
          <w:sz w:val="26"/>
          <w:szCs w:val="26"/>
        </w:rPr>
      </w:pPr>
      <w:bookmarkStart w:id="14" w:name="_Toc481048805"/>
      <w:r>
        <w:br w:type="page"/>
      </w:r>
    </w:p>
    <w:p w14:paraId="4FE15671" w14:textId="77777777" w:rsidR="005C0B8D" w:rsidRPr="00107150" w:rsidRDefault="005C0B8D" w:rsidP="005C0B8D">
      <w:pPr>
        <w:pStyle w:val="Titre2"/>
      </w:pPr>
      <w:r>
        <w:lastRenderedPageBreak/>
        <w:t>Les aides pour les investissements spécifiques</w:t>
      </w:r>
      <w:bookmarkEnd w:id="14"/>
    </w:p>
    <w:p w14:paraId="12BE0C83" w14:textId="77777777" w:rsidR="00D74EC3" w:rsidRDefault="00D74EC3" w:rsidP="00D74EC3">
      <w:pPr>
        <w:pStyle w:val="Titre3"/>
        <w:rPr>
          <w:rFonts w:eastAsia="Arial Unicode MS"/>
        </w:rPr>
      </w:pPr>
      <w:r>
        <w:rPr>
          <w:rFonts w:eastAsia="Arial Unicode MS"/>
        </w:rPr>
        <w:t>Vue </w:t>
      </w:r>
      <w:r w:rsidRPr="006B13D0">
        <w:rPr>
          <w:rFonts w:eastAsia="Arial Unicode MS"/>
        </w:rPr>
        <w:t xml:space="preserve"> d’ensemble</w:t>
      </w:r>
    </w:p>
    <w:p w14:paraId="1FF2C0CE" w14:textId="77777777" w:rsidR="00D74EC3" w:rsidRDefault="00D74EC3" w:rsidP="00D74EC3">
      <w:r>
        <w:t>Les aides pour les investissements spécifiques sont octroyées aux entreprises pour tout investissement visant :</w:t>
      </w:r>
    </w:p>
    <w:p w14:paraId="3EDB4FB1" w14:textId="77777777" w:rsidR="00D74EC3" w:rsidRDefault="00D74EC3" w:rsidP="00D74EC3">
      <w:pPr>
        <w:pStyle w:val="Paragraphedeliste"/>
        <w:numPr>
          <w:ilvl w:val="0"/>
          <w:numId w:val="3"/>
        </w:numPr>
      </w:pPr>
      <w:r>
        <w:t>La protection de l’environnement ;</w:t>
      </w:r>
    </w:p>
    <w:p w14:paraId="7E8CFD42" w14:textId="77777777" w:rsidR="00D74EC3" w:rsidRDefault="00D74EC3" w:rsidP="00D74EC3">
      <w:pPr>
        <w:pStyle w:val="Paragraphedeliste"/>
        <w:numPr>
          <w:ilvl w:val="0"/>
          <w:numId w:val="3"/>
        </w:numPr>
      </w:pPr>
      <w:r>
        <w:t>L’intégration urbaine ;</w:t>
      </w:r>
    </w:p>
    <w:p w14:paraId="01DCC384" w14:textId="77777777" w:rsidR="00D74EC3" w:rsidRDefault="00D74EC3" w:rsidP="00D74EC3">
      <w:pPr>
        <w:pStyle w:val="Paragraphedeliste"/>
        <w:numPr>
          <w:ilvl w:val="0"/>
          <w:numId w:val="3"/>
        </w:numPr>
      </w:pPr>
      <w:r>
        <w:t>Les écoproduits ;</w:t>
      </w:r>
    </w:p>
    <w:p w14:paraId="0D456038" w14:textId="77777777" w:rsidR="00D74EC3" w:rsidRDefault="00D74EC3" w:rsidP="00D74EC3">
      <w:pPr>
        <w:pStyle w:val="Paragraphedeliste"/>
        <w:numPr>
          <w:ilvl w:val="0"/>
          <w:numId w:val="3"/>
        </w:numPr>
      </w:pPr>
      <w:r>
        <w:t>Les économies d’énergie et la production à partir de sources renouvelables ;</w:t>
      </w:r>
    </w:p>
    <w:p w14:paraId="3988FFD7" w14:textId="77777777" w:rsidR="00D74EC3" w:rsidRPr="00D74EC3" w:rsidRDefault="00D74EC3" w:rsidP="00D74EC3">
      <w:pPr>
        <w:pStyle w:val="Paragraphedeliste"/>
        <w:numPr>
          <w:ilvl w:val="0"/>
          <w:numId w:val="3"/>
        </w:numPr>
      </w:pPr>
      <w:r>
        <w:t>La mise en conformité aux normes européennes en matière non environnementale.</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D74EC3" w:rsidRPr="00262071" w14:paraId="108D14B7" w14:textId="77777777" w:rsidTr="007F7DD5">
        <w:tc>
          <w:tcPr>
            <w:tcW w:w="2835" w:type="dxa"/>
            <w:tcBorders>
              <w:bottom w:val="single" w:sz="18" w:space="0" w:color="auto"/>
            </w:tcBorders>
          </w:tcPr>
          <w:p w14:paraId="57CBAE1E" w14:textId="77777777" w:rsidR="00D74EC3" w:rsidRPr="00262071" w:rsidRDefault="00D74EC3" w:rsidP="007F7DD5">
            <w:pPr>
              <w:ind w:left="57"/>
              <w:rPr>
                <w:rFonts w:eastAsia="Arial Unicode MS" w:cs="Arial"/>
                <w:bCs/>
              </w:rPr>
            </w:pPr>
            <w:r w:rsidRPr="00262071">
              <w:rPr>
                <w:rFonts w:eastAsia="Arial Unicode MS" w:cs="Arial"/>
                <w:bCs/>
              </w:rPr>
              <w:t>Types de dossiers</w:t>
            </w:r>
          </w:p>
        </w:tc>
        <w:tc>
          <w:tcPr>
            <w:tcW w:w="1134" w:type="dxa"/>
            <w:tcBorders>
              <w:bottom w:val="single" w:sz="18" w:space="0" w:color="auto"/>
            </w:tcBorders>
            <w:shd w:val="clear" w:color="auto" w:fill="auto"/>
          </w:tcPr>
          <w:p w14:paraId="3BE38958" w14:textId="77777777" w:rsidR="00D74EC3" w:rsidRPr="00262071" w:rsidRDefault="00D74EC3" w:rsidP="007F7DD5">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2318C3A5" w14:textId="77777777" w:rsidR="00D74EC3" w:rsidRPr="00262071" w:rsidRDefault="00D74EC3" w:rsidP="007F7DD5">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08166025" w14:textId="77777777" w:rsidR="00D74EC3" w:rsidRPr="00262071" w:rsidRDefault="00D74EC3" w:rsidP="00D74EC3">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5D731EB1" w14:textId="77777777" w:rsidR="00D74EC3" w:rsidRPr="00262071" w:rsidRDefault="00D74EC3" w:rsidP="00D74EC3">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246D4F6F" w14:textId="77777777" w:rsidR="00D74EC3" w:rsidRPr="00262071" w:rsidRDefault="00D74EC3" w:rsidP="007F7DD5">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D74EC3" w:rsidRPr="00262071" w14:paraId="15759000" w14:textId="77777777" w:rsidTr="007F7DD5">
        <w:tc>
          <w:tcPr>
            <w:tcW w:w="2835" w:type="dxa"/>
            <w:tcBorders>
              <w:top w:val="dotted" w:sz="4" w:space="0" w:color="auto"/>
              <w:bottom w:val="dotted" w:sz="4" w:space="0" w:color="auto"/>
            </w:tcBorders>
          </w:tcPr>
          <w:p w14:paraId="0F607D96" w14:textId="77777777" w:rsidR="00D74EC3" w:rsidRPr="00262071" w:rsidRDefault="00D74EC3" w:rsidP="007F7DD5">
            <w:pPr>
              <w:jc w:val="left"/>
              <w:rPr>
                <w:rFonts w:eastAsia="Arial Unicode MS" w:cs="Arial"/>
              </w:rPr>
            </w:pPr>
            <w:r w:rsidRPr="00262071">
              <w:rPr>
                <w:rFonts w:eastAsia="Arial Unicode MS" w:cs="Arial"/>
              </w:rPr>
              <w:t>Protection de l’environnement</w:t>
            </w:r>
          </w:p>
        </w:tc>
        <w:tc>
          <w:tcPr>
            <w:tcW w:w="1134" w:type="dxa"/>
            <w:tcBorders>
              <w:top w:val="dotted" w:sz="4" w:space="0" w:color="auto"/>
              <w:bottom w:val="dotted" w:sz="4" w:space="0" w:color="auto"/>
            </w:tcBorders>
            <w:shd w:val="clear" w:color="auto" w:fill="auto"/>
          </w:tcPr>
          <w:p w14:paraId="03BE9373" w14:textId="77777777" w:rsidR="00D74EC3" w:rsidRPr="00262071" w:rsidRDefault="00505072" w:rsidP="007F7DD5">
            <w:pPr>
              <w:jc w:val="center"/>
              <w:rPr>
                <w:rFonts w:eastAsia="Arial Unicode MS" w:cs="Arial"/>
              </w:rPr>
            </w:pPr>
            <w:r>
              <w:rPr>
                <w:rFonts w:eastAsia="Arial Unicode MS" w:cs="Arial"/>
              </w:rPr>
              <w:t>42</w:t>
            </w:r>
          </w:p>
        </w:tc>
        <w:tc>
          <w:tcPr>
            <w:tcW w:w="993" w:type="dxa"/>
            <w:tcBorders>
              <w:top w:val="dotted" w:sz="4" w:space="0" w:color="auto"/>
              <w:bottom w:val="dotted" w:sz="4" w:space="0" w:color="auto"/>
            </w:tcBorders>
            <w:shd w:val="clear" w:color="auto" w:fill="auto"/>
          </w:tcPr>
          <w:p w14:paraId="412B5FD8" w14:textId="77777777" w:rsidR="00D74EC3" w:rsidRPr="00262071" w:rsidRDefault="00505072" w:rsidP="007F7DD5">
            <w:pPr>
              <w:jc w:val="center"/>
              <w:rPr>
                <w:rFonts w:eastAsia="Arial Unicode MS" w:cs="Arial"/>
              </w:rPr>
            </w:pPr>
            <w:r>
              <w:rPr>
                <w:rFonts w:eastAsia="Arial Unicode MS" w:cs="Arial"/>
              </w:rPr>
              <w:t>36</w:t>
            </w:r>
          </w:p>
        </w:tc>
        <w:tc>
          <w:tcPr>
            <w:tcW w:w="1134" w:type="dxa"/>
            <w:tcBorders>
              <w:top w:val="dotted" w:sz="4" w:space="0" w:color="auto"/>
              <w:bottom w:val="dotted" w:sz="4" w:space="0" w:color="auto"/>
            </w:tcBorders>
          </w:tcPr>
          <w:p w14:paraId="3808BCBB" w14:textId="77777777" w:rsidR="00D74EC3" w:rsidRPr="00262071" w:rsidRDefault="00505072" w:rsidP="007F7DD5">
            <w:pPr>
              <w:jc w:val="center"/>
              <w:rPr>
                <w:rFonts w:eastAsia="Arial Unicode MS" w:cs="Arial"/>
              </w:rPr>
            </w:pPr>
            <w:r>
              <w:rPr>
                <w:rFonts w:eastAsia="Arial Unicode MS" w:cs="Arial"/>
              </w:rPr>
              <w:t>25</w:t>
            </w:r>
          </w:p>
        </w:tc>
        <w:tc>
          <w:tcPr>
            <w:tcW w:w="1417" w:type="dxa"/>
            <w:tcBorders>
              <w:top w:val="dotted" w:sz="4" w:space="0" w:color="auto"/>
              <w:bottom w:val="dotted" w:sz="4" w:space="0" w:color="auto"/>
            </w:tcBorders>
          </w:tcPr>
          <w:p w14:paraId="423D34EA" w14:textId="77777777" w:rsidR="00D74EC3" w:rsidRPr="00262071" w:rsidRDefault="00505072" w:rsidP="007F7DD5">
            <w:pPr>
              <w:jc w:val="center"/>
              <w:rPr>
                <w:rFonts w:eastAsia="Arial Unicode MS" w:cs="Arial"/>
              </w:rPr>
            </w:pPr>
            <w:r>
              <w:rPr>
                <w:rFonts w:eastAsia="Arial Unicode MS" w:cs="Arial"/>
              </w:rPr>
              <w:t>11</w:t>
            </w:r>
          </w:p>
        </w:tc>
        <w:tc>
          <w:tcPr>
            <w:tcW w:w="1418" w:type="dxa"/>
            <w:tcBorders>
              <w:top w:val="dotted" w:sz="4" w:space="0" w:color="auto"/>
              <w:bottom w:val="dotted" w:sz="4" w:space="0" w:color="auto"/>
            </w:tcBorders>
            <w:shd w:val="clear" w:color="auto" w:fill="auto"/>
          </w:tcPr>
          <w:p w14:paraId="4123CCD3" w14:textId="77777777" w:rsidR="00D74EC3" w:rsidRPr="00262071" w:rsidRDefault="00505072" w:rsidP="007F7DD5">
            <w:pPr>
              <w:jc w:val="right"/>
              <w:rPr>
                <w:rFonts w:eastAsia="Arial Unicode MS" w:cs="Arial"/>
              </w:rPr>
            </w:pPr>
            <w:r>
              <w:rPr>
                <w:rFonts w:eastAsia="Arial Unicode MS" w:cs="Arial"/>
              </w:rPr>
              <w:t>339.659</w:t>
            </w:r>
          </w:p>
        </w:tc>
      </w:tr>
      <w:tr w:rsidR="00D74EC3" w:rsidRPr="00262071" w14:paraId="3ABBB65B" w14:textId="77777777" w:rsidTr="007F7DD5">
        <w:tc>
          <w:tcPr>
            <w:tcW w:w="2835" w:type="dxa"/>
            <w:tcBorders>
              <w:top w:val="dotted" w:sz="4" w:space="0" w:color="auto"/>
              <w:bottom w:val="dotted" w:sz="4" w:space="0" w:color="auto"/>
            </w:tcBorders>
          </w:tcPr>
          <w:p w14:paraId="5A21FF34" w14:textId="77777777" w:rsidR="00D74EC3" w:rsidRPr="00262071" w:rsidRDefault="00D74EC3" w:rsidP="007F7DD5">
            <w:pPr>
              <w:jc w:val="left"/>
              <w:rPr>
                <w:rFonts w:eastAsia="Arial Unicode MS" w:cs="Arial"/>
              </w:rPr>
            </w:pPr>
            <w:r w:rsidRPr="00262071">
              <w:rPr>
                <w:rFonts w:eastAsia="Arial Unicode MS" w:cs="Arial"/>
              </w:rPr>
              <w:t>Intégration urbaine</w:t>
            </w:r>
          </w:p>
        </w:tc>
        <w:tc>
          <w:tcPr>
            <w:tcW w:w="1134" w:type="dxa"/>
            <w:tcBorders>
              <w:top w:val="dotted" w:sz="4" w:space="0" w:color="auto"/>
              <w:bottom w:val="dotted" w:sz="4" w:space="0" w:color="auto"/>
            </w:tcBorders>
            <w:shd w:val="clear" w:color="auto" w:fill="auto"/>
          </w:tcPr>
          <w:p w14:paraId="6548585D" w14:textId="77777777" w:rsidR="00D74EC3" w:rsidRPr="00262071" w:rsidRDefault="00505072" w:rsidP="007F7DD5">
            <w:pPr>
              <w:jc w:val="center"/>
              <w:rPr>
                <w:rFonts w:eastAsia="Arial Unicode MS" w:cs="Arial"/>
              </w:rPr>
            </w:pPr>
            <w:r>
              <w:rPr>
                <w:rFonts w:eastAsia="Arial Unicode MS" w:cs="Arial"/>
              </w:rPr>
              <w:t>149</w:t>
            </w:r>
          </w:p>
        </w:tc>
        <w:tc>
          <w:tcPr>
            <w:tcW w:w="993" w:type="dxa"/>
            <w:tcBorders>
              <w:top w:val="dotted" w:sz="4" w:space="0" w:color="auto"/>
              <w:bottom w:val="dotted" w:sz="4" w:space="0" w:color="auto"/>
            </w:tcBorders>
            <w:shd w:val="clear" w:color="auto" w:fill="auto"/>
          </w:tcPr>
          <w:p w14:paraId="2372C5E6" w14:textId="77777777" w:rsidR="00D74EC3" w:rsidRPr="00262071" w:rsidRDefault="00505072" w:rsidP="007F7DD5">
            <w:pPr>
              <w:jc w:val="center"/>
              <w:rPr>
                <w:rFonts w:eastAsia="Arial Unicode MS" w:cs="Arial"/>
              </w:rPr>
            </w:pPr>
            <w:r>
              <w:rPr>
                <w:rFonts w:eastAsia="Arial Unicode MS" w:cs="Arial"/>
              </w:rPr>
              <w:t>114</w:t>
            </w:r>
          </w:p>
        </w:tc>
        <w:tc>
          <w:tcPr>
            <w:tcW w:w="1134" w:type="dxa"/>
            <w:tcBorders>
              <w:top w:val="dotted" w:sz="4" w:space="0" w:color="auto"/>
              <w:bottom w:val="dotted" w:sz="4" w:space="0" w:color="auto"/>
            </w:tcBorders>
          </w:tcPr>
          <w:p w14:paraId="051EC16E" w14:textId="77777777" w:rsidR="00D74EC3" w:rsidRPr="00262071" w:rsidRDefault="00505072" w:rsidP="007F7DD5">
            <w:pPr>
              <w:jc w:val="center"/>
              <w:rPr>
                <w:rFonts w:eastAsia="Arial Unicode MS" w:cs="Arial"/>
              </w:rPr>
            </w:pPr>
            <w:r>
              <w:rPr>
                <w:rFonts w:eastAsia="Arial Unicode MS" w:cs="Arial"/>
              </w:rPr>
              <w:t>61</w:t>
            </w:r>
          </w:p>
        </w:tc>
        <w:tc>
          <w:tcPr>
            <w:tcW w:w="1417" w:type="dxa"/>
            <w:tcBorders>
              <w:top w:val="dotted" w:sz="4" w:space="0" w:color="auto"/>
              <w:bottom w:val="dotted" w:sz="4" w:space="0" w:color="auto"/>
            </w:tcBorders>
          </w:tcPr>
          <w:p w14:paraId="07EF4745" w14:textId="77777777" w:rsidR="00D74EC3" w:rsidRPr="00262071" w:rsidRDefault="00505072" w:rsidP="007F7DD5">
            <w:pPr>
              <w:jc w:val="center"/>
              <w:rPr>
                <w:rFonts w:eastAsia="Arial Unicode MS" w:cs="Arial"/>
              </w:rPr>
            </w:pPr>
            <w:r>
              <w:rPr>
                <w:rFonts w:eastAsia="Arial Unicode MS" w:cs="Arial"/>
              </w:rPr>
              <w:t>53</w:t>
            </w:r>
          </w:p>
        </w:tc>
        <w:tc>
          <w:tcPr>
            <w:tcW w:w="1418" w:type="dxa"/>
            <w:tcBorders>
              <w:top w:val="dotted" w:sz="4" w:space="0" w:color="auto"/>
              <w:bottom w:val="dotted" w:sz="4" w:space="0" w:color="auto"/>
            </w:tcBorders>
            <w:shd w:val="clear" w:color="auto" w:fill="auto"/>
          </w:tcPr>
          <w:p w14:paraId="018DDF49" w14:textId="77777777" w:rsidR="00D74EC3" w:rsidRPr="00262071" w:rsidRDefault="00505072" w:rsidP="007F7DD5">
            <w:pPr>
              <w:jc w:val="right"/>
              <w:rPr>
                <w:rFonts w:eastAsia="Arial Unicode MS" w:cs="Arial"/>
              </w:rPr>
            </w:pPr>
            <w:r>
              <w:rPr>
                <w:rFonts w:eastAsia="Arial Unicode MS" w:cs="Arial"/>
              </w:rPr>
              <w:t>356.787</w:t>
            </w:r>
          </w:p>
        </w:tc>
      </w:tr>
      <w:tr w:rsidR="00D74EC3" w:rsidRPr="00262071" w14:paraId="4B09073F" w14:textId="77777777" w:rsidTr="007F7DD5">
        <w:tc>
          <w:tcPr>
            <w:tcW w:w="2835" w:type="dxa"/>
            <w:tcBorders>
              <w:top w:val="dotted" w:sz="4" w:space="0" w:color="auto"/>
              <w:bottom w:val="dotted" w:sz="4" w:space="0" w:color="auto"/>
            </w:tcBorders>
          </w:tcPr>
          <w:p w14:paraId="4E4F9BCC" w14:textId="77777777" w:rsidR="00D74EC3" w:rsidRPr="00262071" w:rsidRDefault="00D74EC3" w:rsidP="007F7DD5">
            <w:pPr>
              <w:jc w:val="left"/>
              <w:rPr>
                <w:rFonts w:eastAsia="Arial Unicode MS" w:cs="Arial"/>
              </w:rPr>
            </w:pPr>
            <w:r>
              <w:rPr>
                <w:rFonts w:eastAsia="Arial Unicode MS" w:cs="Arial"/>
              </w:rPr>
              <w:t>Ecoproduits</w:t>
            </w:r>
          </w:p>
        </w:tc>
        <w:tc>
          <w:tcPr>
            <w:tcW w:w="1134" w:type="dxa"/>
            <w:tcBorders>
              <w:top w:val="dotted" w:sz="4" w:space="0" w:color="auto"/>
              <w:bottom w:val="dotted" w:sz="4" w:space="0" w:color="auto"/>
            </w:tcBorders>
            <w:shd w:val="clear" w:color="auto" w:fill="auto"/>
          </w:tcPr>
          <w:p w14:paraId="5F18C523" w14:textId="77777777" w:rsidR="00D74EC3" w:rsidRDefault="00505072" w:rsidP="007F7DD5">
            <w:pPr>
              <w:jc w:val="center"/>
              <w:rPr>
                <w:rFonts w:eastAsia="Arial Unicode MS" w:cs="Arial"/>
              </w:rPr>
            </w:pPr>
            <w:r>
              <w:rPr>
                <w:rFonts w:eastAsia="Arial Unicode MS" w:cs="Arial"/>
              </w:rPr>
              <w:t>2</w:t>
            </w:r>
          </w:p>
        </w:tc>
        <w:tc>
          <w:tcPr>
            <w:tcW w:w="993" w:type="dxa"/>
            <w:tcBorders>
              <w:top w:val="dotted" w:sz="4" w:space="0" w:color="auto"/>
              <w:bottom w:val="dotted" w:sz="4" w:space="0" w:color="auto"/>
            </w:tcBorders>
            <w:shd w:val="clear" w:color="auto" w:fill="auto"/>
          </w:tcPr>
          <w:p w14:paraId="544FBC5C" w14:textId="77777777" w:rsidR="00D74EC3" w:rsidRDefault="00505072" w:rsidP="007F7DD5">
            <w:pPr>
              <w:jc w:val="center"/>
              <w:rPr>
                <w:rFonts w:eastAsia="Arial Unicode MS" w:cs="Arial"/>
              </w:rPr>
            </w:pPr>
            <w:r>
              <w:rPr>
                <w:rFonts w:eastAsia="Arial Unicode MS" w:cs="Arial"/>
              </w:rPr>
              <w:t>1</w:t>
            </w:r>
          </w:p>
        </w:tc>
        <w:tc>
          <w:tcPr>
            <w:tcW w:w="1134" w:type="dxa"/>
            <w:tcBorders>
              <w:top w:val="dotted" w:sz="4" w:space="0" w:color="auto"/>
              <w:bottom w:val="dotted" w:sz="4" w:space="0" w:color="auto"/>
            </w:tcBorders>
          </w:tcPr>
          <w:p w14:paraId="11F9FDCD" w14:textId="77777777" w:rsidR="00D74EC3" w:rsidRDefault="00505072" w:rsidP="007F7DD5">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14:paraId="3E8A55EC" w14:textId="77777777" w:rsidR="00D74EC3" w:rsidRDefault="00505072" w:rsidP="007F7DD5">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5C0F1E44" w14:textId="77777777" w:rsidR="00D74EC3" w:rsidRDefault="00505072" w:rsidP="007F7DD5">
            <w:pPr>
              <w:jc w:val="right"/>
              <w:rPr>
                <w:rFonts w:eastAsia="Arial Unicode MS" w:cs="Arial"/>
              </w:rPr>
            </w:pPr>
            <w:r>
              <w:rPr>
                <w:rFonts w:eastAsia="Arial Unicode MS" w:cs="Arial"/>
              </w:rPr>
              <w:t>7.466</w:t>
            </w:r>
          </w:p>
        </w:tc>
      </w:tr>
      <w:tr w:rsidR="00D74EC3" w:rsidRPr="00262071" w14:paraId="7B7EF0FD" w14:textId="77777777" w:rsidTr="007F7DD5">
        <w:trPr>
          <w:trHeight w:val="1039"/>
        </w:trPr>
        <w:tc>
          <w:tcPr>
            <w:tcW w:w="2835" w:type="dxa"/>
            <w:tcBorders>
              <w:top w:val="dotted" w:sz="4" w:space="0" w:color="auto"/>
              <w:bottom w:val="dotted" w:sz="4" w:space="0" w:color="auto"/>
            </w:tcBorders>
          </w:tcPr>
          <w:p w14:paraId="3467CEFC" w14:textId="77777777" w:rsidR="00D74EC3" w:rsidRPr="00262071" w:rsidRDefault="00D74EC3" w:rsidP="007F7DD5">
            <w:pPr>
              <w:jc w:val="left"/>
              <w:rPr>
                <w:rFonts w:eastAsia="Arial Unicode MS" w:cs="Arial"/>
              </w:rPr>
            </w:pPr>
            <w:r>
              <w:rPr>
                <w:rFonts w:eastAsia="Arial Unicode MS" w:cs="Arial"/>
              </w:rPr>
              <w:t>Economie</w:t>
            </w:r>
            <w:r w:rsidRPr="00262071">
              <w:rPr>
                <w:rFonts w:eastAsia="Arial Unicode MS" w:cs="Arial"/>
              </w:rPr>
              <w:t xml:space="preserve"> d’énergie et production d’énergie à partir de sources renouvelables</w:t>
            </w:r>
          </w:p>
        </w:tc>
        <w:tc>
          <w:tcPr>
            <w:tcW w:w="1134" w:type="dxa"/>
            <w:tcBorders>
              <w:top w:val="dotted" w:sz="4" w:space="0" w:color="auto"/>
              <w:bottom w:val="dotted" w:sz="4" w:space="0" w:color="auto"/>
            </w:tcBorders>
            <w:shd w:val="clear" w:color="auto" w:fill="auto"/>
          </w:tcPr>
          <w:p w14:paraId="0D7C5DE3" w14:textId="77777777" w:rsidR="00D74EC3" w:rsidRPr="00262071" w:rsidRDefault="00505072" w:rsidP="007F7DD5">
            <w:pPr>
              <w:jc w:val="center"/>
              <w:rPr>
                <w:rFonts w:eastAsia="Arial Unicode MS" w:cs="Arial"/>
              </w:rPr>
            </w:pPr>
            <w:r>
              <w:rPr>
                <w:rFonts w:eastAsia="Arial Unicode MS" w:cs="Arial"/>
              </w:rPr>
              <w:t>396</w:t>
            </w:r>
          </w:p>
        </w:tc>
        <w:tc>
          <w:tcPr>
            <w:tcW w:w="993" w:type="dxa"/>
            <w:tcBorders>
              <w:top w:val="dotted" w:sz="4" w:space="0" w:color="auto"/>
              <w:bottom w:val="dotted" w:sz="4" w:space="0" w:color="auto"/>
            </w:tcBorders>
            <w:shd w:val="clear" w:color="auto" w:fill="auto"/>
          </w:tcPr>
          <w:p w14:paraId="772A73C0" w14:textId="77777777" w:rsidR="00D74EC3" w:rsidRPr="00262071" w:rsidRDefault="00505072" w:rsidP="007F7DD5">
            <w:pPr>
              <w:jc w:val="center"/>
              <w:rPr>
                <w:rFonts w:eastAsia="Arial Unicode MS" w:cs="Arial"/>
              </w:rPr>
            </w:pPr>
            <w:r>
              <w:rPr>
                <w:rFonts w:eastAsia="Arial Unicode MS" w:cs="Arial"/>
              </w:rPr>
              <w:t>324</w:t>
            </w:r>
          </w:p>
        </w:tc>
        <w:tc>
          <w:tcPr>
            <w:tcW w:w="1134" w:type="dxa"/>
            <w:tcBorders>
              <w:top w:val="dotted" w:sz="4" w:space="0" w:color="auto"/>
              <w:bottom w:val="dotted" w:sz="4" w:space="0" w:color="auto"/>
            </w:tcBorders>
          </w:tcPr>
          <w:p w14:paraId="32A785FC" w14:textId="77777777" w:rsidR="00D74EC3" w:rsidRPr="00262071" w:rsidRDefault="00505072" w:rsidP="007F7DD5">
            <w:pPr>
              <w:jc w:val="center"/>
              <w:rPr>
                <w:rFonts w:eastAsia="Arial Unicode MS" w:cs="Arial"/>
              </w:rPr>
            </w:pPr>
            <w:r>
              <w:rPr>
                <w:rFonts w:eastAsia="Arial Unicode MS" w:cs="Arial"/>
              </w:rPr>
              <w:t>165</w:t>
            </w:r>
          </w:p>
        </w:tc>
        <w:tc>
          <w:tcPr>
            <w:tcW w:w="1417" w:type="dxa"/>
            <w:tcBorders>
              <w:top w:val="dotted" w:sz="4" w:space="0" w:color="auto"/>
              <w:bottom w:val="dotted" w:sz="4" w:space="0" w:color="auto"/>
            </w:tcBorders>
          </w:tcPr>
          <w:p w14:paraId="5FCBEA7D" w14:textId="77777777" w:rsidR="00D74EC3" w:rsidRPr="00262071" w:rsidRDefault="00505072" w:rsidP="007F7DD5">
            <w:pPr>
              <w:jc w:val="center"/>
              <w:rPr>
                <w:rFonts w:eastAsia="Arial Unicode MS" w:cs="Arial"/>
              </w:rPr>
            </w:pPr>
            <w:r>
              <w:rPr>
                <w:rFonts w:eastAsia="Arial Unicode MS" w:cs="Arial"/>
              </w:rPr>
              <w:t>159</w:t>
            </w:r>
          </w:p>
        </w:tc>
        <w:tc>
          <w:tcPr>
            <w:tcW w:w="1418" w:type="dxa"/>
            <w:tcBorders>
              <w:top w:val="dotted" w:sz="4" w:space="0" w:color="auto"/>
              <w:bottom w:val="dotted" w:sz="4" w:space="0" w:color="auto"/>
            </w:tcBorders>
            <w:shd w:val="clear" w:color="auto" w:fill="auto"/>
          </w:tcPr>
          <w:p w14:paraId="2CEFA45D" w14:textId="77777777" w:rsidR="00D74EC3" w:rsidRDefault="00505072" w:rsidP="007F7DD5">
            <w:pPr>
              <w:jc w:val="right"/>
              <w:rPr>
                <w:rFonts w:eastAsia="Arial Unicode MS" w:cs="Arial"/>
              </w:rPr>
            </w:pPr>
            <w:r>
              <w:rPr>
                <w:rFonts w:eastAsia="Arial Unicode MS" w:cs="Arial"/>
              </w:rPr>
              <w:t>2.500.925</w:t>
            </w:r>
          </w:p>
          <w:p w14:paraId="00814D4B" w14:textId="77777777" w:rsidR="00D74EC3" w:rsidRPr="00262071" w:rsidRDefault="00D74EC3" w:rsidP="007F7DD5">
            <w:pPr>
              <w:jc w:val="right"/>
              <w:rPr>
                <w:rFonts w:eastAsia="Arial Unicode MS" w:cs="Arial"/>
              </w:rPr>
            </w:pPr>
          </w:p>
        </w:tc>
      </w:tr>
      <w:tr w:rsidR="00D74EC3" w:rsidRPr="00262071" w14:paraId="581AE283" w14:textId="77777777" w:rsidTr="007F7DD5">
        <w:tc>
          <w:tcPr>
            <w:tcW w:w="2835" w:type="dxa"/>
            <w:tcBorders>
              <w:top w:val="dotted" w:sz="4" w:space="0" w:color="auto"/>
              <w:bottom w:val="dotted" w:sz="4" w:space="0" w:color="auto"/>
            </w:tcBorders>
          </w:tcPr>
          <w:p w14:paraId="4FF00356" w14:textId="77777777" w:rsidR="00D74EC3" w:rsidRPr="00262071" w:rsidRDefault="00D74EC3" w:rsidP="007F7DD5">
            <w:pPr>
              <w:jc w:val="left"/>
              <w:rPr>
                <w:rFonts w:eastAsia="Arial Unicode MS" w:cs="Arial"/>
              </w:rPr>
            </w:pPr>
            <w:r w:rsidRPr="00262071">
              <w:rPr>
                <w:rFonts w:eastAsia="Arial Unicode MS" w:cs="Arial"/>
              </w:rPr>
              <w:t>Mise en conformité aux normes européennes</w:t>
            </w:r>
            <w:r w:rsidRPr="00262071">
              <w:rPr>
                <w:rFonts w:cs="Arial"/>
              </w:rPr>
              <w:t xml:space="preserve"> </w:t>
            </w:r>
            <w:r w:rsidRPr="00262071">
              <w:rPr>
                <w:rFonts w:eastAsia="Arial Unicode MS" w:cs="Arial"/>
              </w:rPr>
              <w:t>en matière non environnementale</w:t>
            </w:r>
          </w:p>
        </w:tc>
        <w:tc>
          <w:tcPr>
            <w:tcW w:w="1134" w:type="dxa"/>
            <w:tcBorders>
              <w:top w:val="dotted" w:sz="4" w:space="0" w:color="auto"/>
              <w:bottom w:val="dotted" w:sz="4" w:space="0" w:color="auto"/>
            </w:tcBorders>
            <w:shd w:val="clear" w:color="auto" w:fill="auto"/>
          </w:tcPr>
          <w:p w14:paraId="45BCCF23" w14:textId="77777777" w:rsidR="00D74EC3" w:rsidRPr="00262071" w:rsidRDefault="00505072" w:rsidP="007F7DD5">
            <w:pPr>
              <w:jc w:val="center"/>
              <w:rPr>
                <w:rFonts w:eastAsia="Arial Unicode MS" w:cs="Arial"/>
              </w:rPr>
            </w:pPr>
            <w:r>
              <w:rPr>
                <w:rFonts w:eastAsia="Arial Unicode MS" w:cs="Arial"/>
              </w:rPr>
              <w:t>78</w:t>
            </w:r>
          </w:p>
        </w:tc>
        <w:tc>
          <w:tcPr>
            <w:tcW w:w="993" w:type="dxa"/>
            <w:tcBorders>
              <w:top w:val="dotted" w:sz="4" w:space="0" w:color="auto"/>
              <w:bottom w:val="dotted" w:sz="4" w:space="0" w:color="auto"/>
            </w:tcBorders>
            <w:shd w:val="clear" w:color="auto" w:fill="auto"/>
          </w:tcPr>
          <w:p w14:paraId="776343D5" w14:textId="77777777" w:rsidR="00D74EC3" w:rsidRPr="00262071" w:rsidRDefault="00505072" w:rsidP="007F7DD5">
            <w:pPr>
              <w:jc w:val="center"/>
              <w:rPr>
                <w:rFonts w:eastAsia="Arial Unicode MS" w:cs="Arial"/>
              </w:rPr>
            </w:pPr>
            <w:r>
              <w:rPr>
                <w:rFonts w:eastAsia="Arial Unicode MS" w:cs="Arial"/>
              </w:rPr>
              <w:t>71</w:t>
            </w:r>
          </w:p>
        </w:tc>
        <w:tc>
          <w:tcPr>
            <w:tcW w:w="1134" w:type="dxa"/>
            <w:tcBorders>
              <w:top w:val="dotted" w:sz="4" w:space="0" w:color="auto"/>
              <w:bottom w:val="dotted" w:sz="4" w:space="0" w:color="auto"/>
            </w:tcBorders>
          </w:tcPr>
          <w:p w14:paraId="362E4594" w14:textId="77777777" w:rsidR="00D74EC3" w:rsidRPr="00262071" w:rsidRDefault="00505072" w:rsidP="007F7DD5">
            <w:pPr>
              <w:jc w:val="center"/>
              <w:rPr>
                <w:rFonts w:eastAsia="Arial Unicode MS" w:cs="Arial"/>
              </w:rPr>
            </w:pPr>
            <w:r>
              <w:rPr>
                <w:rFonts w:eastAsia="Arial Unicode MS" w:cs="Arial"/>
              </w:rPr>
              <w:t>49</w:t>
            </w:r>
          </w:p>
        </w:tc>
        <w:tc>
          <w:tcPr>
            <w:tcW w:w="1417" w:type="dxa"/>
            <w:tcBorders>
              <w:top w:val="dotted" w:sz="4" w:space="0" w:color="auto"/>
              <w:bottom w:val="dotted" w:sz="4" w:space="0" w:color="auto"/>
            </w:tcBorders>
          </w:tcPr>
          <w:p w14:paraId="28301AB4" w14:textId="77777777" w:rsidR="00D74EC3" w:rsidRPr="00262071" w:rsidRDefault="00505072" w:rsidP="007F7DD5">
            <w:pPr>
              <w:jc w:val="center"/>
              <w:rPr>
                <w:rFonts w:eastAsia="Arial Unicode MS" w:cs="Arial"/>
              </w:rPr>
            </w:pPr>
            <w:r>
              <w:rPr>
                <w:rFonts w:eastAsia="Arial Unicode MS" w:cs="Arial"/>
              </w:rPr>
              <w:t>22</w:t>
            </w:r>
          </w:p>
        </w:tc>
        <w:tc>
          <w:tcPr>
            <w:tcW w:w="1418" w:type="dxa"/>
            <w:tcBorders>
              <w:top w:val="dotted" w:sz="4" w:space="0" w:color="auto"/>
              <w:bottom w:val="dotted" w:sz="4" w:space="0" w:color="auto"/>
            </w:tcBorders>
            <w:shd w:val="clear" w:color="auto" w:fill="auto"/>
          </w:tcPr>
          <w:p w14:paraId="587D405C" w14:textId="77777777" w:rsidR="00D74EC3" w:rsidRPr="00262071" w:rsidRDefault="00505072" w:rsidP="007F7DD5">
            <w:pPr>
              <w:jc w:val="right"/>
              <w:rPr>
                <w:rFonts w:eastAsia="Arial Unicode MS" w:cs="Arial"/>
              </w:rPr>
            </w:pPr>
            <w:r>
              <w:rPr>
                <w:rFonts w:eastAsia="Arial Unicode MS" w:cs="Arial"/>
              </w:rPr>
              <w:t>1.058.039</w:t>
            </w:r>
          </w:p>
        </w:tc>
      </w:tr>
      <w:tr w:rsidR="00D74EC3" w:rsidRPr="00262071" w14:paraId="54C81DD1" w14:textId="77777777" w:rsidTr="007F7DD5">
        <w:tc>
          <w:tcPr>
            <w:tcW w:w="2835" w:type="dxa"/>
            <w:tcBorders>
              <w:top w:val="single" w:sz="18" w:space="0" w:color="auto"/>
              <w:bottom w:val="single" w:sz="18" w:space="0" w:color="auto"/>
            </w:tcBorders>
          </w:tcPr>
          <w:p w14:paraId="1A70944F" w14:textId="77777777" w:rsidR="00D74EC3" w:rsidRPr="00262071" w:rsidRDefault="00D74EC3" w:rsidP="007F7DD5">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6BF65092" w14:textId="77777777" w:rsidR="00D74EC3" w:rsidRPr="00262071" w:rsidRDefault="00EC23CD" w:rsidP="007F7DD5">
            <w:pPr>
              <w:jc w:val="center"/>
              <w:rPr>
                <w:rFonts w:eastAsia="Arial Unicode MS" w:cs="Arial"/>
                <w:bCs/>
              </w:rPr>
            </w:pPr>
            <w:r>
              <w:rPr>
                <w:rFonts w:eastAsia="Arial Unicode MS" w:cs="Arial"/>
                <w:bCs/>
              </w:rPr>
              <w:t>667</w:t>
            </w:r>
          </w:p>
        </w:tc>
        <w:tc>
          <w:tcPr>
            <w:tcW w:w="993" w:type="dxa"/>
            <w:tcBorders>
              <w:top w:val="single" w:sz="18" w:space="0" w:color="auto"/>
              <w:bottom w:val="single" w:sz="18" w:space="0" w:color="auto"/>
            </w:tcBorders>
            <w:shd w:val="clear" w:color="auto" w:fill="auto"/>
          </w:tcPr>
          <w:p w14:paraId="637DE1E1" w14:textId="77777777" w:rsidR="00D74EC3" w:rsidRPr="00262071" w:rsidRDefault="00EC23CD" w:rsidP="00EC23CD">
            <w:pPr>
              <w:jc w:val="center"/>
              <w:rPr>
                <w:rFonts w:eastAsia="Arial Unicode MS" w:cs="Arial"/>
                <w:bCs/>
              </w:rPr>
            </w:pPr>
            <w:r>
              <w:rPr>
                <w:rFonts w:eastAsia="Arial Unicode MS" w:cs="Arial"/>
                <w:bCs/>
              </w:rPr>
              <w:t>546</w:t>
            </w:r>
          </w:p>
        </w:tc>
        <w:tc>
          <w:tcPr>
            <w:tcW w:w="1134" w:type="dxa"/>
            <w:tcBorders>
              <w:top w:val="single" w:sz="18" w:space="0" w:color="auto"/>
              <w:bottom w:val="single" w:sz="18" w:space="0" w:color="auto"/>
            </w:tcBorders>
          </w:tcPr>
          <w:p w14:paraId="6F4F63DB" w14:textId="77777777" w:rsidR="00D74EC3" w:rsidRPr="00262071" w:rsidRDefault="00EC23CD" w:rsidP="00EC23CD">
            <w:pPr>
              <w:jc w:val="center"/>
              <w:rPr>
                <w:rFonts w:eastAsia="Arial Unicode MS" w:cs="Arial"/>
                <w:bCs/>
              </w:rPr>
            </w:pPr>
            <w:r>
              <w:rPr>
                <w:rFonts w:eastAsia="Arial Unicode MS" w:cs="Arial"/>
                <w:bCs/>
              </w:rPr>
              <w:t>301</w:t>
            </w:r>
          </w:p>
        </w:tc>
        <w:tc>
          <w:tcPr>
            <w:tcW w:w="1417" w:type="dxa"/>
            <w:tcBorders>
              <w:top w:val="single" w:sz="18" w:space="0" w:color="auto"/>
              <w:bottom w:val="single" w:sz="18" w:space="0" w:color="auto"/>
            </w:tcBorders>
          </w:tcPr>
          <w:p w14:paraId="53B6B0B5" w14:textId="77777777" w:rsidR="00D74EC3" w:rsidRPr="00262071" w:rsidRDefault="00EC23CD" w:rsidP="007F7DD5">
            <w:pPr>
              <w:jc w:val="center"/>
              <w:rPr>
                <w:rFonts w:eastAsia="Arial Unicode MS" w:cs="Arial"/>
                <w:bCs/>
              </w:rPr>
            </w:pPr>
            <w:r>
              <w:rPr>
                <w:rFonts w:eastAsia="Arial Unicode MS" w:cs="Arial"/>
                <w:bCs/>
              </w:rPr>
              <w:t>245</w:t>
            </w:r>
          </w:p>
        </w:tc>
        <w:tc>
          <w:tcPr>
            <w:tcW w:w="1418" w:type="dxa"/>
            <w:tcBorders>
              <w:top w:val="single" w:sz="18" w:space="0" w:color="auto"/>
              <w:bottom w:val="single" w:sz="18" w:space="0" w:color="auto"/>
            </w:tcBorders>
            <w:shd w:val="clear" w:color="auto" w:fill="auto"/>
          </w:tcPr>
          <w:p w14:paraId="22A5FC2D" w14:textId="77777777" w:rsidR="00D74EC3" w:rsidRPr="00262071" w:rsidRDefault="00505072" w:rsidP="007F7DD5">
            <w:pPr>
              <w:jc w:val="right"/>
              <w:rPr>
                <w:rFonts w:eastAsia="Arial Unicode MS" w:cs="Arial"/>
                <w:bCs/>
              </w:rPr>
            </w:pPr>
            <w:r>
              <w:rPr>
                <w:rFonts w:eastAsia="Arial Unicode MS" w:cs="Arial"/>
                <w:bCs/>
              </w:rPr>
              <w:t>4.262.876</w:t>
            </w:r>
          </w:p>
        </w:tc>
      </w:tr>
    </w:tbl>
    <w:p w14:paraId="1C2CC21B"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cs="Arial"/>
        </w:rPr>
      </w:pPr>
    </w:p>
    <w:p w14:paraId="7C1F3DDA"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jc w:val="right"/>
        <w:rPr>
          <w:rFonts w:cs="Arial"/>
        </w:rPr>
      </w:pPr>
      <w:r>
        <w:rPr>
          <w:rFonts w:cs="Arial"/>
          <w:noProof/>
          <w:lang w:eastAsia="fr-BE"/>
        </w:rPr>
        <w:drawing>
          <wp:inline distT="0" distB="0" distL="0" distR="0" wp14:anchorId="5B5A91EC" wp14:editId="3C9CE433">
            <wp:extent cx="5086350" cy="1800225"/>
            <wp:effectExtent l="0" t="0" r="0" b="0"/>
            <wp:docPr id="26"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94CF4D"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eastAsia="Arial Unicode MS" w:cs="Arial"/>
          <w:b/>
          <w:u w:val="single"/>
        </w:rPr>
      </w:pPr>
    </w:p>
    <w:p w14:paraId="48E1A798" w14:textId="77777777" w:rsidR="00D74EC3" w:rsidRPr="00262071" w:rsidRDefault="00D74EC3" w:rsidP="00D74EC3">
      <w:pPr>
        <w:pStyle w:val="Titre3"/>
        <w:rPr>
          <w:rFonts w:eastAsia="Arial Unicode MS"/>
        </w:rPr>
      </w:pPr>
      <w:r w:rsidRPr="00262071">
        <w:rPr>
          <w:rFonts w:eastAsia="Arial Unicode MS"/>
        </w:rPr>
        <w:lastRenderedPageBreak/>
        <w:t>Bases légales</w:t>
      </w:r>
    </w:p>
    <w:p w14:paraId="13E75E45" w14:textId="77777777" w:rsidR="00D74EC3" w:rsidRDefault="00D74EC3" w:rsidP="00D74EC3">
      <w:pPr>
        <w:pStyle w:val="Sansinterligne"/>
        <w:rPr>
          <w:rFonts w:eastAsia="Arial Unicode MS"/>
        </w:rPr>
      </w:pPr>
      <w:r w:rsidRPr="00262071">
        <w:rPr>
          <w:rFonts w:eastAsia="Arial Unicode MS"/>
        </w:rPr>
        <w:t>Ordonnance organique du 13</w:t>
      </w:r>
      <w:r>
        <w:rPr>
          <w:rFonts w:eastAsia="Arial Unicode MS"/>
        </w:rPr>
        <w:t xml:space="preserve"> décembre </w:t>
      </w:r>
      <w:r w:rsidRPr="00262071">
        <w:rPr>
          <w:rFonts w:eastAsia="Arial Unicode MS"/>
        </w:rPr>
        <w:t>2007 relative aux aides pour la promotion de l’expansio</w:t>
      </w:r>
      <w:r>
        <w:rPr>
          <w:rFonts w:eastAsia="Arial Unicode MS"/>
        </w:rPr>
        <w:t xml:space="preserve">n économique (MB du 10 janvier 2008). </w:t>
      </w:r>
    </w:p>
    <w:p w14:paraId="2E182DB2" w14:textId="77777777" w:rsidR="00D74EC3" w:rsidRPr="00262071" w:rsidRDefault="00D74EC3" w:rsidP="00D74EC3">
      <w:pPr>
        <w:pStyle w:val="Sansinterligne"/>
        <w:rPr>
          <w:rFonts w:eastAsia="Arial Unicode MS"/>
        </w:rPr>
      </w:pPr>
    </w:p>
    <w:p w14:paraId="709DDB14" w14:textId="77777777" w:rsidR="00D74EC3" w:rsidRDefault="00D74EC3" w:rsidP="00D74EC3">
      <w:pPr>
        <w:pStyle w:val="Sansinterligne"/>
        <w:rPr>
          <w:rFonts w:eastAsia="Arial Unicode MS"/>
        </w:rPr>
      </w:pPr>
      <w:r w:rsidRPr="00262071">
        <w:rPr>
          <w:rFonts w:eastAsia="Arial Unicode MS"/>
        </w:rPr>
        <w:t>Arrêté du Gouvernement de la Région de Bruxelles-Capitale du 2 avril 2009 relatif aux aides à la protection de l’environnement (M.B du 5 mai 2009)</w:t>
      </w:r>
      <w:r>
        <w:rPr>
          <w:rFonts w:eastAsia="Arial Unicode MS"/>
        </w:rPr>
        <w:t>, modifié par l’arrêté du 2 mai 2013 (M.B. du 22 juillet 2013).</w:t>
      </w:r>
    </w:p>
    <w:p w14:paraId="72EA912A" w14:textId="77777777" w:rsidR="00D74EC3" w:rsidRPr="00262071" w:rsidRDefault="00D74EC3" w:rsidP="00D74EC3">
      <w:pPr>
        <w:pStyle w:val="Sansinterligne"/>
        <w:rPr>
          <w:rFonts w:eastAsia="Arial Unicode MS"/>
        </w:rPr>
      </w:pPr>
    </w:p>
    <w:p w14:paraId="2BCFDEB0" w14:textId="77777777" w:rsidR="00D74EC3" w:rsidRDefault="00D74EC3" w:rsidP="00D74EC3">
      <w:pPr>
        <w:pStyle w:val="Sansinterligne"/>
        <w:rPr>
          <w:rFonts w:eastAsia="Arial Unicode MS"/>
        </w:rPr>
      </w:pPr>
      <w:r w:rsidRPr="00262071">
        <w:rPr>
          <w:rFonts w:eastAsia="Arial Unicode MS"/>
        </w:rPr>
        <w:t>Arrêté du Gouvernement de la Région de Bruxelles-Capitale du 2 avril 2009 relatif aux aides à l’économie d’énergie et à  la production d’énergie à partir de sources d’énergies ren</w:t>
      </w:r>
      <w:r>
        <w:rPr>
          <w:rFonts w:eastAsia="Arial Unicode MS"/>
        </w:rPr>
        <w:t>ouvelables (M.B du 5 mai 2009), modifié par l’arrêté du 2 mai 2013 (M.B. du 22 juillet 2013).</w:t>
      </w:r>
    </w:p>
    <w:p w14:paraId="609EC51A" w14:textId="77777777" w:rsidR="00D74EC3" w:rsidRPr="00262071" w:rsidRDefault="00D74EC3" w:rsidP="00D74EC3">
      <w:pPr>
        <w:pStyle w:val="Sansinterligne"/>
        <w:rPr>
          <w:rFonts w:eastAsia="Arial Unicode MS"/>
        </w:rPr>
      </w:pPr>
    </w:p>
    <w:p w14:paraId="45FC5501" w14:textId="77777777" w:rsidR="00D74EC3" w:rsidRDefault="00D74EC3" w:rsidP="00D74EC3">
      <w:pPr>
        <w:pStyle w:val="Sansinterligne"/>
        <w:rPr>
          <w:rFonts w:eastAsia="Arial Unicode MS"/>
        </w:rPr>
      </w:pPr>
      <w:r w:rsidRPr="00262071">
        <w:rPr>
          <w:rFonts w:eastAsia="Arial Unicode MS"/>
        </w:rPr>
        <w:t>Arrêté du Gouvernement de la Région de Bruxelles-Capitale du 2 avril 2009 relatif aux aides à l’intégrati</w:t>
      </w:r>
      <w:r>
        <w:rPr>
          <w:rFonts w:eastAsia="Arial Unicode MS"/>
        </w:rPr>
        <w:t>on urbaine (M.B du 5 mai 2009), modifié par l’arrêté du 2 mai 2013 (M.B. du 22 juillet 2013).</w:t>
      </w:r>
    </w:p>
    <w:p w14:paraId="7C55EA0A" w14:textId="77777777" w:rsidR="00D74EC3" w:rsidRPr="00262071" w:rsidRDefault="00D74EC3" w:rsidP="00D74EC3">
      <w:pPr>
        <w:pStyle w:val="Sansinterligne"/>
        <w:rPr>
          <w:rFonts w:eastAsia="Arial Unicode MS"/>
        </w:rPr>
      </w:pPr>
    </w:p>
    <w:p w14:paraId="07008A4E" w14:textId="77777777" w:rsidR="00D74EC3" w:rsidRDefault="00D74EC3" w:rsidP="00D74EC3">
      <w:pPr>
        <w:pStyle w:val="Sansinterligne"/>
        <w:rPr>
          <w:rFonts w:eastAsia="Arial Unicode MS"/>
        </w:rPr>
      </w:pPr>
      <w:r w:rsidRPr="00262071">
        <w:rPr>
          <w:rFonts w:eastAsia="Arial Unicode MS"/>
        </w:rPr>
        <w:t>Arrêté du Gouvernement de la Région de Bruxelles-Capitale du 2 avril 2009 relatif aux aides à la production d’é</w:t>
      </w:r>
      <w:r>
        <w:rPr>
          <w:rFonts w:eastAsia="Arial Unicode MS"/>
        </w:rPr>
        <w:t>coproduits (M.B du 5 mai 2009), modifié par l’arrêté du 2 mai 2013 (M.B. du 22 juillet 2013).</w:t>
      </w:r>
    </w:p>
    <w:p w14:paraId="3AC691CD" w14:textId="77777777" w:rsidR="00D74EC3" w:rsidRPr="00262071" w:rsidRDefault="00D74EC3" w:rsidP="00D74EC3">
      <w:pPr>
        <w:pStyle w:val="Sansinterligne"/>
        <w:rPr>
          <w:rFonts w:eastAsia="Arial Unicode MS"/>
        </w:rPr>
      </w:pPr>
    </w:p>
    <w:p w14:paraId="6ED4398A" w14:textId="77777777" w:rsidR="00D74EC3" w:rsidRDefault="00D74EC3" w:rsidP="00D74EC3">
      <w:pPr>
        <w:pStyle w:val="Sansinterligne"/>
        <w:rPr>
          <w:rFonts w:eastAsia="Arial Unicode MS"/>
        </w:rPr>
      </w:pPr>
      <w:r w:rsidRPr="00262071">
        <w:rPr>
          <w:rFonts w:eastAsia="Arial Unicode MS"/>
        </w:rPr>
        <w:t>Arrêté du Gouvernement de la Région de Bruxelles-Capitale du 2 avril 2009 relatif à l’aide à la mise</w:t>
      </w:r>
      <w:r>
        <w:rPr>
          <w:rFonts w:eastAsia="Arial Unicode MS"/>
        </w:rPr>
        <w:t xml:space="preserve"> aux normes (M.B du 5 mai 2009), modifié par l’arrêté du 2 mai 2013 (M.B. du 22 juillet 2013).</w:t>
      </w:r>
    </w:p>
    <w:p w14:paraId="5EB05BB1" w14:textId="77777777" w:rsidR="00D74EC3" w:rsidRPr="00262071" w:rsidRDefault="00D74EC3" w:rsidP="00D74EC3">
      <w:pPr>
        <w:pStyle w:val="Sansinterligne"/>
        <w:rPr>
          <w:rFonts w:eastAsia="Arial Unicode MS"/>
        </w:rPr>
      </w:pPr>
    </w:p>
    <w:p w14:paraId="2EBA792E" w14:textId="77777777" w:rsidR="00D74EC3" w:rsidRPr="00262071" w:rsidRDefault="00D74EC3" w:rsidP="00D74EC3">
      <w:pPr>
        <w:pStyle w:val="Sansinterligne"/>
        <w:rPr>
          <w:rFonts w:eastAsia="Arial Unicode MS"/>
        </w:rPr>
      </w:pPr>
      <w:r w:rsidRPr="00262071">
        <w:rPr>
          <w:rFonts w:eastAsia="Arial Unicode MS"/>
        </w:rPr>
        <w:t>Arrêté du Gouvernement de la Région de Bruxelles-Capitale du 13 novembre 2008  relatif à l’aide aux entreprises en période de travaux sur la voie publique (M.B. du 14 janvier 2009).</w:t>
      </w:r>
    </w:p>
    <w:p w14:paraId="42C7B86C" w14:textId="77777777" w:rsidR="00D74EC3" w:rsidRDefault="00D74EC3" w:rsidP="00D74EC3">
      <w:pPr>
        <w:pStyle w:val="Titre3"/>
        <w:rPr>
          <w:rFonts w:eastAsia="Arial Unicode MS"/>
        </w:rPr>
      </w:pPr>
      <w:r>
        <w:rPr>
          <w:rFonts w:eastAsia="Arial Unicode MS"/>
        </w:rPr>
        <w:t>Constatations</w:t>
      </w:r>
    </w:p>
    <w:p w14:paraId="02FAD17E" w14:textId="77777777" w:rsidR="00D74EC3" w:rsidRDefault="00D74EC3" w:rsidP="00D74EC3">
      <w:pPr>
        <w:rPr>
          <w:rFonts w:eastAsia="Arial Unicode MS" w:cs="Arial"/>
        </w:rPr>
      </w:pPr>
      <w:r>
        <w:rPr>
          <w:rFonts w:eastAsia="Arial Unicode MS" w:cs="Arial"/>
        </w:rPr>
        <w:t xml:space="preserve">En </w:t>
      </w:r>
      <w:r w:rsidR="00EC23CD">
        <w:rPr>
          <w:rFonts w:eastAsia="Arial Unicode MS" w:cs="Arial"/>
        </w:rPr>
        <w:t>2017</w:t>
      </w:r>
      <w:r>
        <w:rPr>
          <w:rFonts w:eastAsia="Arial Unicode MS" w:cs="Arial"/>
        </w:rPr>
        <w:t xml:space="preserve">, </w:t>
      </w:r>
      <w:r w:rsidR="00EC23CD">
        <w:rPr>
          <w:rFonts w:eastAsia="Arial Unicode MS" w:cs="Arial"/>
        </w:rPr>
        <w:t>546</w:t>
      </w:r>
      <w:r w:rsidRPr="00262071">
        <w:rPr>
          <w:rFonts w:eastAsia="Arial Unicode MS" w:cs="Arial"/>
        </w:rPr>
        <w:t xml:space="preserve"> dossiers ont fait l’objet d’une décision, dont </w:t>
      </w:r>
      <w:r w:rsidR="00EC23CD">
        <w:rPr>
          <w:rFonts w:eastAsia="Arial Unicode MS" w:cs="Arial"/>
        </w:rPr>
        <w:t>301</w:t>
      </w:r>
      <w:r>
        <w:rPr>
          <w:rFonts w:eastAsia="Arial Unicode MS" w:cs="Arial"/>
        </w:rPr>
        <w:t xml:space="preserve"> étaient </w:t>
      </w:r>
      <w:r w:rsidRPr="00262071">
        <w:rPr>
          <w:rFonts w:eastAsia="Arial Unicode MS" w:cs="Arial"/>
        </w:rPr>
        <w:t>positives (</w:t>
      </w:r>
      <w:r w:rsidR="00EC23CD">
        <w:rPr>
          <w:rFonts w:eastAsia="Arial Unicode MS" w:cs="Arial"/>
        </w:rPr>
        <w:t>55,13</w:t>
      </w:r>
      <w:r>
        <w:rPr>
          <w:rFonts w:eastAsia="Arial Unicode MS" w:cs="Arial"/>
        </w:rPr>
        <w:t>% des demandes).</w:t>
      </w:r>
    </w:p>
    <w:p w14:paraId="6B438279" w14:textId="77777777" w:rsidR="00D74EC3" w:rsidRPr="00262071" w:rsidRDefault="00D74EC3" w:rsidP="00D74EC3">
      <w:pPr>
        <w:rPr>
          <w:rFonts w:eastAsia="Arial Unicode MS" w:cs="Arial"/>
        </w:rPr>
      </w:pPr>
      <w:r>
        <w:rPr>
          <w:rFonts w:eastAsia="Arial Unicode MS" w:cs="Arial"/>
        </w:rPr>
        <w:t>Comparativement à l’année précédente, on observe une croissance</w:t>
      </w:r>
      <w:r w:rsidR="00EC23CD">
        <w:rPr>
          <w:rFonts w:eastAsia="Arial Unicode MS" w:cs="Arial"/>
        </w:rPr>
        <w:t xml:space="preserve"> significative</w:t>
      </w:r>
      <w:r>
        <w:rPr>
          <w:rFonts w:eastAsia="Arial Unicode MS" w:cs="Arial"/>
        </w:rPr>
        <w:t xml:space="preserve"> du nombre de dossiers traités de </w:t>
      </w:r>
      <w:r w:rsidR="00EC23CD">
        <w:rPr>
          <w:rFonts w:eastAsia="Arial Unicode MS" w:cs="Arial"/>
        </w:rPr>
        <w:t>61,54</w:t>
      </w:r>
      <w:r>
        <w:rPr>
          <w:rFonts w:eastAsia="Arial Unicode MS" w:cs="Arial"/>
        </w:rPr>
        <w:t>%</w:t>
      </w:r>
      <w:r w:rsidR="00EC23CD">
        <w:rPr>
          <w:rFonts w:eastAsia="Arial Unicode MS" w:cs="Arial"/>
        </w:rPr>
        <w:t>, expliquée en partie par l’augmentation du nombre de dossiers introduits (27,05%)</w:t>
      </w:r>
      <w:r w:rsidR="001516DF">
        <w:rPr>
          <w:rFonts w:eastAsia="Arial Unicode MS" w:cs="Arial"/>
        </w:rPr>
        <w:t>.</w:t>
      </w:r>
      <w:r w:rsidR="00EC23CD">
        <w:rPr>
          <w:rFonts w:eastAsia="Arial Unicode MS" w:cs="Arial"/>
        </w:rPr>
        <w:t xml:space="preserve"> Le taux de refus</w:t>
      </w:r>
      <w:r w:rsidR="00A82CBF">
        <w:rPr>
          <w:rStyle w:val="Appelnotedebasdep"/>
          <w:rFonts w:eastAsia="Arial Unicode MS" w:cs="Arial"/>
        </w:rPr>
        <w:footnoteReference w:id="2"/>
      </w:r>
      <w:r w:rsidR="00EC23CD">
        <w:rPr>
          <w:rFonts w:eastAsia="Arial Unicode MS" w:cs="Arial"/>
        </w:rPr>
        <w:t xml:space="preserve"> passe de 33,43% en 2016 à 44,87% en 2017.</w:t>
      </w:r>
    </w:p>
    <w:p w14:paraId="17F1428A" w14:textId="77777777" w:rsidR="00D74EC3" w:rsidRPr="00894AB4" w:rsidRDefault="00D74EC3" w:rsidP="00D74EC3">
      <w:pPr>
        <w:pStyle w:val="Titre3"/>
        <w:rPr>
          <w:rFonts w:eastAsia="Arial Unicode MS"/>
        </w:rPr>
      </w:pPr>
      <w:r w:rsidRPr="00894AB4">
        <w:rPr>
          <w:rFonts w:eastAsia="Arial Unicode MS"/>
        </w:rPr>
        <w:t xml:space="preserve">Répartition des </w:t>
      </w:r>
      <w:r w:rsidR="00BE63F6">
        <w:rPr>
          <w:rFonts w:eastAsia="Arial Unicode MS"/>
        </w:rPr>
        <w:t>dossiers</w:t>
      </w:r>
      <w:r w:rsidRPr="00894AB4">
        <w:rPr>
          <w:rFonts w:eastAsia="Arial Unicode MS"/>
        </w:rPr>
        <w:t xml:space="preserve"> selon la taille de l’entreprise</w:t>
      </w:r>
    </w:p>
    <w:p w14:paraId="1D9265CD" w14:textId="77777777" w:rsidR="00D74EC3" w:rsidRDefault="00D74EC3" w:rsidP="00D74EC3">
      <w:pPr>
        <w:ind w:firstLine="708"/>
        <w:rPr>
          <w:rFonts w:eastAsia="Arial Unicode MS" w:cs="Arial"/>
        </w:rPr>
      </w:pP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14582FC2" w14:textId="77777777" w:rsidR="00D74EC3" w:rsidRDefault="00D74EC3" w:rsidP="00D74EC3">
      <w:pPr>
        <w:rPr>
          <w:rFonts w:eastAsia="Arial Unicode MS" w:cs="Arial"/>
        </w:rPr>
      </w:pPr>
      <w:r>
        <w:rPr>
          <w:rFonts w:eastAsia="Arial Unicode MS" w:cs="Arial"/>
        </w:rPr>
        <w:t>Les subsides liés aux investissements spécifiques ont majoritairement été demandés par des micro entreprises.</w:t>
      </w:r>
    </w:p>
    <w:p w14:paraId="162CE77E" w14:textId="77777777" w:rsidR="00D74EC3" w:rsidRPr="00262071" w:rsidRDefault="00D74EC3" w:rsidP="00D74EC3">
      <w:pPr>
        <w:ind w:firstLine="708"/>
        <w:rPr>
          <w:rFonts w:eastAsia="Arial Unicode MS" w:cs="Arial"/>
          <w:b/>
          <w:u w:val="single"/>
        </w:rPr>
      </w:pPr>
      <w:r>
        <w:rPr>
          <w:rFonts w:cs="Arial"/>
          <w:noProof/>
          <w:lang w:eastAsia="fr-BE"/>
        </w:rPr>
        <w:lastRenderedPageBreak/>
        <w:drawing>
          <wp:inline distT="0" distB="0" distL="0" distR="0" wp14:anchorId="69EB4DB8" wp14:editId="031179D8">
            <wp:extent cx="5759450" cy="1989284"/>
            <wp:effectExtent l="0" t="0" r="0" b="0"/>
            <wp:docPr id="27"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B98139" w14:textId="77777777" w:rsidR="00D74EC3" w:rsidRDefault="00D74EC3" w:rsidP="00D74EC3">
      <w:pPr>
        <w:pStyle w:val="Titre3"/>
        <w:rPr>
          <w:rFonts w:eastAsia="Arial Unicode MS"/>
        </w:rPr>
      </w:pPr>
      <w:r w:rsidRPr="00894AB4">
        <w:rPr>
          <w:rFonts w:eastAsia="Arial Unicode MS"/>
        </w:rPr>
        <w:t>Répartition des primes octroyées selon le secteur d’activités (NACE BEL)</w:t>
      </w:r>
    </w:p>
    <w:p w14:paraId="0E9F473E" w14:textId="77777777" w:rsidR="00D74EC3" w:rsidRPr="00262071" w:rsidRDefault="00D74EC3" w:rsidP="00D74EC3">
      <w:pPr>
        <w:rPr>
          <w:rFonts w:eastAsia="Arial Unicode MS" w:cs="Arial"/>
          <w:b/>
          <w:u w:val="single"/>
        </w:rPr>
      </w:pPr>
      <w:r>
        <w:rPr>
          <w:rFonts w:eastAsia="Arial Unicode MS" w:cs="Arial"/>
        </w:rPr>
        <w:t xml:space="preserve">       </w:t>
      </w:r>
      <w:r>
        <w:rPr>
          <w:rFonts w:eastAsia="Arial Unicode MS" w:cs="Arial"/>
        </w:rPr>
        <w:tab/>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0F7CDFB5" w14:textId="77777777" w:rsidR="005C0B8D" w:rsidRDefault="00BE63F6" w:rsidP="00D74EC3">
      <w:r>
        <w:t xml:space="preserve">Les subsides pour investissements spécifiques bénéficient principalement aux </w:t>
      </w:r>
      <w:r w:rsidR="00854397">
        <w:t>secteurs du Commerce (49,16%) et de l’HO.RE.CA (26,68%)</w:t>
      </w:r>
      <w:r>
        <w:t>.</w:t>
      </w:r>
    </w:p>
    <w:p w14:paraId="449ECF7C" w14:textId="77777777" w:rsidR="00BE63F6" w:rsidRPr="005C0B8D" w:rsidRDefault="00BE63F6" w:rsidP="00D74EC3">
      <w:r>
        <w:rPr>
          <w:rFonts w:eastAsia="Arial Unicode MS" w:cs="Arial"/>
          <w:noProof/>
          <w:lang w:eastAsia="fr-BE"/>
        </w:rPr>
        <w:drawing>
          <wp:inline distT="0" distB="0" distL="0" distR="0" wp14:anchorId="507BF975" wp14:editId="3F1DDADE">
            <wp:extent cx="5759450" cy="2244169"/>
            <wp:effectExtent l="0" t="0" r="0" b="0"/>
            <wp:docPr id="28" name="Graphique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8AB2BF" w14:textId="77777777" w:rsidR="00107150" w:rsidRDefault="00107150">
      <w:pPr>
        <w:jc w:val="left"/>
        <w:rPr>
          <w:rFonts w:eastAsiaTheme="majorEastAsia" w:cstheme="majorBidi"/>
          <w:b/>
          <w:bCs/>
          <w:color w:val="0A00BE"/>
          <w:sz w:val="28"/>
          <w:szCs w:val="28"/>
        </w:rPr>
      </w:pPr>
      <w:r>
        <w:br w:type="page"/>
      </w:r>
    </w:p>
    <w:p w14:paraId="32F8160A" w14:textId="77777777" w:rsidR="00107150" w:rsidRDefault="00107150" w:rsidP="00107150">
      <w:pPr>
        <w:pStyle w:val="Titre1"/>
      </w:pPr>
      <w:bookmarkStart w:id="15" w:name="_Toc481048806"/>
      <w:r>
        <w:lastRenderedPageBreak/>
        <w:t>Ordonnance du 13/01/1994 concernant la promotion du commerce extérieur</w:t>
      </w:r>
      <w:bookmarkEnd w:id="15"/>
    </w:p>
    <w:p w14:paraId="72725080" w14:textId="77777777" w:rsidR="00CD5C60" w:rsidRDefault="00CD5C60" w:rsidP="00CD5C60">
      <w:pPr>
        <w:pStyle w:val="Titre3"/>
        <w:rPr>
          <w:rFonts w:eastAsia="Arial Unicode MS"/>
        </w:rPr>
      </w:pPr>
      <w:r w:rsidRPr="006B13D0">
        <w:rPr>
          <w:rFonts w:eastAsia="Arial Unicode MS"/>
        </w:rPr>
        <w:t>Vue d’ensemble</w:t>
      </w:r>
    </w:p>
    <w:p w14:paraId="26873AA8" w14:textId="77777777" w:rsidR="00CD5C60" w:rsidRDefault="00CD5C60" w:rsidP="00CD5C60">
      <w:r>
        <w:t>Les incitants financiers à la promotion du commerce extérieur sont octroyées aux indépendants et PME et  regroupent :</w:t>
      </w:r>
    </w:p>
    <w:p w14:paraId="2CE2181F" w14:textId="77777777" w:rsidR="00CD5C60" w:rsidRDefault="00CD5C60" w:rsidP="00CD5C60">
      <w:pPr>
        <w:pStyle w:val="Paragraphedeliste"/>
        <w:numPr>
          <w:ilvl w:val="0"/>
          <w:numId w:val="3"/>
        </w:numPr>
      </w:pPr>
      <w:r>
        <w:t>Les aides pour la réalisation de supports informatifs à l’exportation ;</w:t>
      </w:r>
    </w:p>
    <w:p w14:paraId="78C435F9" w14:textId="77777777" w:rsidR="00CD5C60" w:rsidRDefault="00CD5C60" w:rsidP="00CD5C60">
      <w:pPr>
        <w:pStyle w:val="Paragraphedeliste"/>
        <w:numPr>
          <w:ilvl w:val="0"/>
          <w:numId w:val="3"/>
        </w:numPr>
      </w:pPr>
      <w:r>
        <w:t>Les aides pour la participation à des foires à l’étranger ;</w:t>
      </w:r>
    </w:p>
    <w:p w14:paraId="1A57940F" w14:textId="77777777" w:rsidR="00CD5C60" w:rsidRDefault="00CD5C60" w:rsidP="00CD5C60">
      <w:pPr>
        <w:pStyle w:val="Paragraphedeliste"/>
        <w:numPr>
          <w:ilvl w:val="0"/>
          <w:numId w:val="3"/>
        </w:numPr>
      </w:pPr>
      <w:r>
        <w:t>Les aides pour les voyages de prospection hors de l’Union Européenne ;</w:t>
      </w:r>
    </w:p>
    <w:p w14:paraId="2CD7CE01" w14:textId="77777777" w:rsidR="00CD5C60" w:rsidRDefault="00CD5C60" w:rsidP="00CD5C60">
      <w:pPr>
        <w:pStyle w:val="Paragraphedeliste"/>
        <w:numPr>
          <w:ilvl w:val="0"/>
          <w:numId w:val="3"/>
        </w:numPr>
      </w:pPr>
      <w:r>
        <w:t>Les aides pour la participations à des appels d’offre pour des marchés situés hors de l’Union Européenne ;</w:t>
      </w:r>
    </w:p>
    <w:p w14:paraId="6E06CBEF" w14:textId="77777777" w:rsidR="00CD5C60" w:rsidRPr="00CD5C60" w:rsidRDefault="00CD5C60" w:rsidP="00CD5C60">
      <w:pPr>
        <w:pStyle w:val="Paragraphedeliste"/>
        <w:numPr>
          <w:ilvl w:val="0"/>
          <w:numId w:val="3"/>
        </w:numPr>
        <w:rPr>
          <w:rFonts w:eastAsia="Arial Unicode MS" w:cs="Arial"/>
          <w:b/>
        </w:rPr>
      </w:pPr>
      <w:r>
        <w:t>Les aides pour l’ouverture de bureaux de représentation hors de l’Union Européenne.</w:t>
      </w:r>
    </w:p>
    <w:tbl>
      <w:tblPr>
        <w:tblW w:w="9998"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79"/>
        <w:gridCol w:w="1312"/>
        <w:gridCol w:w="1454"/>
        <w:gridCol w:w="1521"/>
        <w:gridCol w:w="1156"/>
        <w:gridCol w:w="1276"/>
      </w:tblGrid>
      <w:tr w:rsidR="00CD5C60" w:rsidRPr="00262071" w14:paraId="079C841E" w14:textId="77777777" w:rsidTr="00BD2ED1">
        <w:tc>
          <w:tcPr>
            <w:tcW w:w="3279" w:type="dxa"/>
            <w:tcBorders>
              <w:bottom w:val="single" w:sz="18" w:space="0" w:color="auto"/>
            </w:tcBorders>
          </w:tcPr>
          <w:p w14:paraId="15CA8C48" w14:textId="77777777" w:rsidR="00CD5C60" w:rsidRPr="00262071" w:rsidRDefault="00CD5C60" w:rsidP="007F7DD5">
            <w:pPr>
              <w:ind w:left="57"/>
              <w:rPr>
                <w:rFonts w:eastAsia="Arial Unicode MS" w:cs="Arial"/>
                <w:bCs/>
              </w:rPr>
            </w:pPr>
            <w:r w:rsidRPr="00262071">
              <w:rPr>
                <w:rFonts w:eastAsia="Arial Unicode MS" w:cs="Arial"/>
                <w:bCs/>
              </w:rPr>
              <w:t>Types de dossiers</w:t>
            </w:r>
          </w:p>
        </w:tc>
        <w:tc>
          <w:tcPr>
            <w:tcW w:w="1312" w:type="dxa"/>
            <w:tcBorders>
              <w:bottom w:val="single" w:sz="18" w:space="0" w:color="auto"/>
            </w:tcBorders>
            <w:shd w:val="clear" w:color="auto" w:fill="auto"/>
          </w:tcPr>
          <w:p w14:paraId="167474C2" w14:textId="77777777" w:rsidR="00CD5C60" w:rsidRPr="00262071" w:rsidRDefault="00CD5C60" w:rsidP="007F7DD5">
            <w:pPr>
              <w:ind w:left="57"/>
              <w:jc w:val="center"/>
              <w:rPr>
                <w:rFonts w:eastAsia="Arial Unicode MS" w:cs="Arial"/>
                <w:bCs/>
              </w:rPr>
            </w:pPr>
            <w:r w:rsidRPr="00262071">
              <w:rPr>
                <w:rFonts w:eastAsia="Arial Unicode MS" w:cs="Arial"/>
                <w:bCs/>
              </w:rPr>
              <w:t xml:space="preserve">Nombre introduits </w:t>
            </w:r>
          </w:p>
        </w:tc>
        <w:tc>
          <w:tcPr>
            <w:tcW w:w="1454" w:type="dxa"/>
            <w:tcBorders>
              <w:bottom w:val="single" w:sz="18" w:space="0" w:color="auto"/>
            </w:tcBorders>
            <w:shd w:val="clear" w:color="auto" w:fill="auto"/>
          </w:tcPr>
          <w:p w14:paraId="0CAFFEB6" w14:textId="77777777" w:rsidR="00CD5C60" w:rsidRPr="00262071" w:rsidRDefault="00CD5C60" w:rsidP="007F7DD5">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521" w:type="dxa"/>
            <w:tcBorders>
              <w:bottom w:val="single" w:sz="18" w:space="0" w:color="auto"/>
            </w:tcBorders>
          </w:tcPr>
          <w:p w14:paraId="56CB437D" w14:textId="77777777" w:rsidR="00CD5C60" w:rsidRPr="00262071" w:rsidRDefault="00CD5C60" w:rsidP="00CD5C60">
            <w:pPr>
              <w:ind w:left="57"/>
              <w:jc w:val="center"/>
              <w:rPr>
                <w:rFonts w:eastAsia="Arial Unicode MS" w:cs="Arial"/>
                <w:bCs/>
              </w:rPr>
            </w:pPr>
            <w:r>
              <w:rPr>
                <w:rFonts w:eastAsia="Arial Unicode MS" w:cs="Arial"/>
                <w:bCs/>
              </w:rPr>
              <w:t>Décidés octrois</w:t>
            </w:r>
          </w:p>
        </w:tc>
        <w:tc>
          <w:tcPr>
            <w:tcW w:w="1156" w:type="dxa"/>
            <w:tcBorders>
              <w:bottom w:val="single" w:sz="18" w:space="0" w:color="auto"/>
            </w:tcBorders>
          </w:tcPr>
          <w:p w14:paraId="4EE8F52A" w14:textId="77777777" w:rsidR="00CD5C60" w:rsidRPr="00262071" w:rsidRDefault="00CD5C60" w:rsidP="00CD5C60">
            <w:pPr>
              <w:ind w:left="57"/>
              <w:jc w:val="center"/>
              <w:rPr>
                <w:rFonts w:eastAsia="Arial Unicode MS" w:cs="Arial"/>
                <w:bCs/>
              </w:rPr>
            </w:pPr>
            <w:r>
              <w:rPr>
                <w:rFonts w:eastAsia="Arial Unicode MS" w:cs="Arial"/>
                <w:bCs/>
              </w:rPr>
              <w:t xml:space="preserve">Décidés </w:t>
            </w:r>
            <w:r w:rsidR="00BD2ED1">
              <w:rPr>
                <w:rFonts w:eastAsia="Arial Unicode MS" w:cs="Arial"/>
                <w:bCs/>
              </w:rPr>
              <w:br/>
            </w:r>
            <w:r>
              <w:rPr>
                <w:rFonts w:eastAsia="Arial Unicode MS" w:cs="Arial"/>
                <w:bCs/>
              </w:rPr>
              <w:t>refus</w:t>
            </w:r>
          </w:p>
        </w:tc>
        <w:tc>
          <w:tcPr>
            <w:tcW w:w="1276" w:type="dxa"/>
            <w:tcBorders>
              <w:bottom w:val="single" w:sz="18" w:space="0" w:color="auto"/>
            </w:tcBorders>
            <w:shd w:val="clear" w:color="auto" w:fill="auto"/>
          </w:tcPr>
          <w:p w14:paraId="5A123588" w14:textId="77777777" w:rsidR="00CD5C60" w:rsidRPr="00262071" w:rsidRDefault="00CD5C60" w:rsidP="00BD2ED1">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w:t>
            </w:r>
          </w:p>
        </w:tc>
      </w:tr>
      <w:tr w:rsidR="00CD5C60" w:rsidRPr="00262071" w14:paraId="78DB27A7" w14:textId="77777777" w:rsidTr="00BD2ED1">
        <w:tc>
          <w:tcPr>
            <w:tcW w:w="3279" w:type="dxa"/>
            <w:tcBorders>
              <w:top w:val="dotted" w:sz="4" w:space="0" w:color="auto"/>
              <w:bottom w:val="dotted" w:sz="4" w:space="0" w:color="auto"/>
            </w:tcBorders>
          </w:tcPr>
          <w:p w14:paraId="1A8520FB" w14:textId="77777777" w:rsidR="00CD5C60" w:rsidRPr="00262071" w:rsidRDefault="00CD5C60" w:rsidP="007F7DD5">
            <w:pPr>
              <w:jc w:val="left"/>
              <w:rPr>
                <w:rFonts w:eastAsia="Arial Unicode MS" w:cs="Arial"/>
              </w:rPr>
            </w:pPr>
            <w:r w:rsidRPr="00262071">
              <w:rPr>
                <w:rFonts w:eastAsia="Arial Unicode MS" w:cs="Arial"/>
              </w:rPr>
              <w:t>réalisation de supports informatifs de promotion à l'exportation</w:t>
            </w:r>
          </w:p>
        </w:tc>
        <w:tc>
          <w:tcPr>
            <w:tcW w:w="1312" w:type="dxa"/>
            <w:tcBorders>
              <w:top w:val="dotted" w:sz="4" w:space="0" w:color="auto"/>
              <w:bottom w:val="dotted" w:sz="4" w:space="0" w:color="auto"/>
            </w:tcBorders>
            <w:shd w:val="clear" w:color="auto" w:fill="auto"/>
          </w:tcPr>
          <w:p w14:paraId="004F0BDD" w14:textId="77777777" w:rsidR="00CD5C60" w:rsidRPr="00262071" w:rsidRDefault="007152A3" w:rsidP="007F7DD5">
            <w:pPr>
              <w:jc w:val="center"/>
              <w:rPr>
                <w:rFonts w:eastAsia="Arial Unicode MS" w:cs="Arial"/>
              </w:rPr>
            </w:pPr>
            <w:r>
              <w:rPr>
                <w:rFonts w:eastAsia="Arial Unicode MS" w:cs="Arial"/>
              </w:rPr>
              <w:t>257</w:t>
            </w:r>
          </w:p>
        </w:tc>
        <w:tc>
          <w:tcPr>
            <w:tcW w:w="1454" w:type="dxa"/>
            <w:tcBorders>
              <w:top w:val="dotted" w:sz="4" w:space="0" w:color="auto"/>
              <w:bottom w:val="dotted" w:sz="4" w:space="0" w:color="auto"/>
            </w:tcBorders>
            <w:shd w:val="clear" w:color="auto" w:fill="auto"/>
          </w:tcPr>
          <w:p w14:paraId="7386C61E" w14:textId="77777777" w:rsidR="00CD5C60" w:rsidRPr="00262071" w:rsidRDefault="007152A3" w:rsidP="007F7DD5">
            <w:pPr>
              <w:jc w:val="center"/>
              <w:rPr>
                <w:rFonts w:eastAsia="Arial Unicode MS" w:cs="Arial"/>
              </w:rPr>
            </w:pPr>
            <w:r>
              <w:rPr>
                <w:rFonts w:eastAsia="Arial Unicode MS" w:cs="Arial"/>
              </w:rPr>
              <w:t>249</w:t>
            </w:r>
          </w:p>
        </w:tc>
        <w:tc>
          <w:tcPr>
            <w:tcW w:w="1521" w:type="dxa"/>
            <w:tcBorders>
              <w:top w:val="dotted" w:sz="4" w:space="0" w:color="auto"/>
              <w:bottom w:val="dotted" w:sz="4" w:space="0" w:color="auto"/>
            </w:tcBorders>
          </w:tcPr>
          <w:p w14:paraId="146B6CE1" w14:textId="77777777" w:rsidR="00CD5C60" w:rsidRPr="00262071" w:rsidRDefault="007152A3" w:rsidP="007F7DD5">
            <w:pPr>
              <w:jc w:val="center"/>
              <w:rPr>
                <w:rFonts w:eastAsia="Arial Unicode MS" w:cs="Arial"/>
              </w:rPr>
            </w:pPr>
            <w:r>
              <w:rPr>
                <w:rFonts w:eastAsia="Arial Unicode MS" w:cs="Arial"/>
              </w:rPr>
              <w:t>206</w:t>
            </w:r>
          </w:p>
        </w:tc>
        <w:tc>
          <w:tcPr>
            <w:tcW w:w="1156" w:type="dxa"/>
            <w:tcBorders>
              <w:top w:val="dotted" w:sz="4" w:space="0" w:color="auto"/>
              <w:bottom w:val="dotted" w:sz="4" w:space="0" w:color="auto"/>
            </w:tcBorders>
          </w:tcPr>
          <w:p w14:paraId="783CBEE3" w14:textId="77777777" w:rsidR="00CD5C60" w:rsidRPr="00262071" w:rsidRDefault="007152A3" w:rsidP="007F7DD5">
            <w:pPr>
              <w:jc w:val="center"/>
              <w:rPr>
                <w:rFonts w:eastAsia="Arial Unicode MS" w:cs="Arial"/>
              </w:rPr>
            </w:pPr>
            <w:r>
              <w:rPr>
                <w:rFonts w:eastAsia="Arial Unicode MS" w:cs="Arial"/>
              </w:rPr>
              <w:t>43</w:t>
            </w:r>
          </w:p>
        </w:tc>
        <w:tc>
          <w:tcPr>
            <w:tcW w:w="1276" w:type="dxa"/>
            <w:tcBorders>
              <w:top w:val="dotted" w:sz="4" w:space="0" w:color="auto"/>
              <w:bottom w:val="dotted" w:sz="4" w:space="0" w:color="auto"/>
            </w:tcBorders>
            <w:shd w:val="clear" w:color="auto" w:fill="auto"/>
          </w:tcPr>
          <w:p w14:paraId="4D7411C9" w14:textId="77777777" w:rsidR="00CD5C60" w:rsidRPr="00262071" w:rsidRDefault="007152A3" w:rsidP="007F7DD5">
            <w:pPr>
              <w:jc w:val="right"/>
              <w:rPr>
                <w:rFonts w:eastAsia="Arial Unicode MS" w:cs="Arial"/>
              </w:rPr>
            </w:pPr>
            <w:r>
              <w:rPr>
                <w:rFonts w:eastAsia="Arial Unicode MS" w:cs="Arial"/>
              </w:rPr>
              <w:t>661.553</w:t>
            </w:r>
          </w:p>
        </w:tc>
      </w:tr>
      <w:tr w:rsidR="00CD5C60" w:rsidRPr="00262071" w14:paraId="28DDE86C" w14:textId="77777777" w:rsidTr="00BD2ED1">
        <w:tc>
          <w:tcPr>
            <w:tcW w:w="3279" w:type="dxa"/>
            <w:tcBorders>
              <w:top w:val="dotted" w:sz="4" w:space="0" w:color="auto"/>
              <w:bottom w:val="dotted" w:sz="4" w:space="0" w:color="auto"/>
            </w:tcBorders>
          </w:tcPr>
          <w:p w14:paraId="0A8D377E" w14:textId="77777777" w:rsidR="00CD5C60" w:rsidRPr="00262071" w:rsidRDefault="00CD5C60" w:rsidP="007F7DD5">
            <w:pPr>
              <w:jc w:val="left"/>
              <w:rPr>
                <w:rFonts w:eastAsia="Arial Unicode MS" w:cs="Arial"/>
              </w:rPr>
            </w:pPr>
            <w:r w:rsidRPr="00262071">
              <w:rPr>
                <w:rFonts w:eastAsia="Arial Unicode MS" w:cs="Arial"/>
              </w:rPr>
              <w:t>prospection de marchés situés hors Union européenne</w:t>
            </w:r>
          </w:p>
        </w:tc>
        <w:tc>
          <w:tcPr>
            <w:tcW w:w="1312" w:type="dxa"/>
            <w:tcBorders>
              <w:top w:val="dotted" w:sz="4" w:space="0" w:color="auto"/>
              <w:bottom w:val="dotted" w:sz="4" w:space="0" w:color="auto"/>
            </w:tcBorders>
            <w:shd w:val="clear" w:color="auto" w:fill="auto"/>
          </w:tcPr>
          <w:p w14:paraId="6696A022" w14:textId="77777777" w:rsidR="00CD5C60" w:rsidRPr="00262071" w:rsidRDefault="007152A3" w:rsidP="007F7DD5">
            <w:pPr>
              <w:jc w:val="center"/>
              <w:rPr>
                <w:rFonts w:eastAsia="Arial Unicode MS" w:cs="Arial"/>
              </w:rPr>
            </w:pPr>
            <w:r>
              <w:rPr>
                <w:rFonts w:eastAsia="Arial Unicode MS" w:cs="Arial"/>
              </w:rPr>
              <w:t>318</w:t>
            </w:r>
          </w:p>
        </w:tc>
        <w:tc>
          <w:tcPr>
            <w:tcW w:w="1454" w:type="dxa"/>
            <w:tcBorders>
              <w:top w:val="dotted" w:sz="4" w:space="0" w:color="auto"/>
              <w:bottom w:val="dotted" w:sz="4" w:space="0" w:color="auto"/>
            </w:tcBorders>
            <w:shd w:val="clear" w:color="auto" w:fill="auto"/>
          </w:tcPr>
          <w:p w14:paraId="3B8A1D81" w14:textId="77777777" w:rsidR="00CD5C60" w:rsidRPr="00262071" w:rsidRDefault="007152A3" w:rsidP="007F7DD5">
            <w:pPr>
              <w:jc w:val="center"/>
              <w:rPr>
                <w:rFonts w:eastAsia="Arial Unicode MS" w:cs="Arial"/>
              </w:rPr>
            </w:pPr>
            <w:r>
              <w:rPr>
                <w:rFonts w:eastAsia="Arial Unicode MS" w:cs="Arial"/>
              </w:rPr>
              <w:t>305</w:t>
            </w:r>
          </w:p>
        </w:tc>
        <w:tc>
          <w:tcPr>
            <w:tcW w:w="1521" w:type="dxa"/>
            <w:tcBorders>
              <w:top w:val="dotted" w:sz="4" w:space="0" w:color="auto"/>
              <w:bottom w:val="dotted" w:sz="4" w:space="0" w:color="auto"/>
            </w:tcBorders>
          </w:tcPr>
          <w:p w14:paraId="3C9ABFF2" w14:textId="77777777" w:rsidR="00CD5C60" w:rsidRPr="00262071" w:rsidRDefault="007152A3" w:rsidP="007F7DD5">
            <w:pPr>
              <w:jc w:val="center"/>
              <w:rPr>
                <w:rFonts w:eastAsia="Arial Unicode MS" w:cs="Arial"/>
              </w:rPr>
            </w:pPr>
            <w:r>
              <w:rPr>
                <w:rFonts w:eastAsia="Arial Unicode MS" w:cs="Arial"/>
              </w:rPr>
              <w:t>209</w:t>
            </w:r>
          </w:p>
        </w:tc>
        <w:tc>
          <w:tcPr>
            <w:tcW w:w="1156" w:type="dxa"/>
            <w:tcBorders>
              <w:top w:val="dotted" w:sz="4" w:space="0" w:color="auto"/>
              <w:bottom w:val="dotted" w:sz="4" w:space="0" w:color="auto"/>
            </w:tcBorders>
          </w:tcPr>
          <w:p w14:paraId="17C277D7" w14:textId="77777777" w:rsidR="00CD5C60" w:rsidRPr="00262071" w:rsidRDefault="007152A3" w:rsidP="007F7DD5">
            <w:pPr>
              <w:jc w:val="center"/>
              <w:rPr>
                <w:rFonts w:eastAsia="Arial Unicode MS" w:cs="Arial"/>
              </w:rPr>
            </w:pPr>
            <w:r>
              <w:rPr>
                <w:rFonts w:eastAsia="Arial Unicode MS" w:cs="Arial"/>
              </w:rPr>
              <w:t>96</w:t>
            </w:r>
          </w:p>
        </w:tc>
        <w:tc>
          <w:tcPr>
            <w:tcW w:w="1276" w:type="dxa"/>
            <w:tcBorders>
              <w:top w:val="dotted" w:sz="4" w:space="0" w:color="auto"/>
              <w:bottom w:val="dotted" w:sz="4" w:space="0" w:color="auto"/>
            </w:tcBorders>
            <w:shd w:val="clear" w:color="auto" w:fill="auto"/>
          </w:tcPr>
          <w:p w14:paraId="1A7C2D2D" w14:textId="77777777" w:rsidR="00CD5C60" w:rsidRPr="00262071" w:rsidRDefault="007152A3" w:rsidP="007F7DD5">
            <w:pPr>
              <w:jc w:val="right"/>
              <w:rPr>
                <w:rFonts w:eastAsia="Arial Unicode MS" w:cs="Arial"/>
              </w:rPr>
            </w:pPr>
            <w:r>
              <w:rPr>
                <w:rFonts w:eastAsia="Arial Unicode MS" w:cs="Arial"/>
              </w:rPr>
              <w:t>469.829</w:t>
            </w:r>
          </w:p>
        </w:tc>
      </w:tr>
      <w:tr w:rsidR="00CD5C60" w:rsidRPr="00262071" w14:paraId="2B68CBFB" w14:textId="77777777" w:rsidTr="00BD2ED1">
        <w:tc>
          <w:tcPr>
            <w:tcW w:w="3279" w:type="dxa"/>
            <w:tcBorders>
              <w:top w:val="dotted" w:sz="4" w:space="0" w:color="auto"/>
              <w:bottom w:val="dotted" w:sz="4" w:space="0" w:color="auto"/>
            </w:tcBorders>
          </w:tcPr>
          <w:p w14:paraId="642A3F3D" w14:textId="77777777" w:rsidR="00CD5C60" w:rsidRPr="00262071" w:rsidRDefault="00CD5C60" w:rsidP="007F7DD5">
            <w:pPr>
              <w:jc w:val="left"/>
              <w:rPr>
                <w:rFonts w:eastAsia="Arial Unicode MS" w:cs="Arial"/>
              </w:rPr>
            </w:pPr>
            <w:r w:rsidRPr="00262071">
              <w:rPr>
                <w:rFonts w:eastAsia="Arial Unicode MS" w:cs="Arial"/>
              </w:rPr>
              <w:t>participation à des foires internationales à l'étrange</w:t>
            </w:r>
          </w:p>
        </w:tc>
        <w:tc>
          <w:tcPr>
            <w:tcW w:w="1312" w:type="dxa"/>
            <w:tcBorders>
              <w:top w:val="dotted" w:sz="4" w:space="0" w:color="auto"/>
              <w:bottom w:val="dotted" w:sz="4" w:space="0" w:color="auto"/>
            </w:tcBorders>
            <w:shd w:val="clear" w:color="auto" w:fill="auto"/>
          </w:tcPr>
          <w:p w14:paraId="43C8F65B" w14:textId="77777777" w:rsidR="00CD5C60" w:rsidRPr="00262071" w:rsidRDefault="007152A3" w:rsidP="007F7DD5">
            <w:pPr>
              <w:jc w:val="center"/>
              <w:rPr>
                <w:rFonts w:eastAsia="Arial Unicode MS" w:cs="Arial"/>
              </w:rPr>
            </w:pPr>
            <w:r>
              <w:rPr>
                <w:rFonts w:eastAsia="Arial Unicode MS" w:cs="Arial"/>
              </w:rPr>
              <w:t>627</w:t>
            </w:r>
          </w:p>
        </w:tc>
        <w:tc>
          <w:tcPr>
            <w:tcW w:w="1454" w:type="dxa"/>
            <w:tcBorders>
              <w:top w:val="dotted" w:sz="4" w:space="0" w:color="auto"/>
              <w:bottom w:val="dotted" w:sz="4" w:space="0" w:color="auto"/>
            </w:tcBorders>
            <w:shd w:val="clear" w:color="auto" w:fill="auto"/>
          </w:tcPr>
          <w:p w14:paraId="0F9FC9D1" w14:textId="77777777" w:rsidR="00CD5C60" w:rsidRPr="00262071" w:rsidRDefault="007152A3" w:rsidP="007F7DD5">
            <w:pPr>
              <w:jc w:val="center"/>
              <w:rPr>
                <w:rFonts w:eastAsia="Arial Unicode MS" w:cs="Arial"/>
              </w:rPr>
            </w:pPr>
            <w:r>
              <w:rPr>
                <w:rFonts w:eastAsia="Arial Unicode MS" w:cs="Arial"/>
              </w:rPr>
              <w:t>539</w:t>
            </w:r>
          </w:p>
        </w:tc>
        <w:tc>
          <w:tcPr>
            <w:tcW w:w="1521" w:type="dxa"/>
            <w:tcBorders>
              <w:top w:val="dotted" w:sz="4" w:space="0" w:color="auto"/>
              <w:bottom w:val="dotted" w:sz="4" w:space="0" w:color="auto"/>
            </w:tcBorders>
          </w:tcPr>
          <w:p w14:paraId="000E18B8" w14:textId="77777777" w:rsidR="00CD5C60" w:rsidRPr="00262071" w:rsidRDefault="007152A3" w:rsidP="007F7DD5">
            <w:pPr>
              <w:jc w:val="center"/>
              <w:rPr>
                <w:rFonts w:eastAsia="Arial Unicode MS" w:cs="Arial"/>
              </w:rPr>
            </w:pPr>
            <w:r>
              <w:rPr>
                <w:rFonts w:eastAsia="Arial Unicode MS" w:cs="Arial"/>
              </w:rPr>
              <w:t>475</w:t>
            </w:r>
          </w:p>
        </w:tc>
        <w:tc>
          <w:tcPr>
            <w:tcW w:w="1156" w:type="dxa"/>
            <w:tcBorders>
              <w:top w:val="dotted" w:sz="4" w:space="0" w:color="auto"/>
              <w:bottom w:val="dotted" w:sz="4" w:space="0" w:color="auto"/>
            </w:tcBorders>
          </w:tcPr>
          <w:p w14:paraId="37D6EA64" w14:textId="77777777" w:rsidR="00CD5C60" w:rsidRPr="00262071" w:rsidRDefault="007152A3" w:rsidP="007F7DD5">
            <w:pPr>
              <w:jc w:val="center"/>
              <w:rPr>
                <w:rFonts w:eastAsia="Arial Unicode MS" w:cs="Arial"/>
              </w:rPr>
            </w:pPr>
            <w:r>
              <w:rPr>
                <w:rFonts w:eastAsia="Arial Unicode MS" w:cs="Arial"/>
              </w:rPr>
              <w:t>64</w:t>
            </w:r>
          </w:p>
        </w:tc>
        <w:tc>
          <w:tcPr>
            <w:tcW w:w="1276" w:type="dxa"/>
            <w:tcBorders>
              <w:top w:val="dotted" w:sz="4" w:space="0" w:color="auto"/>
              <w:bottom w:val="dotted" w:sz="4" w:space="0" w:color="auto"/>
            </w:tcBorders>
            <w:shd w:val="clear" w:color="auto" w:fill="auto"/>
          </w:tcPr>
          <w:p w14:paraId="4AEAC3DD" w14:textId="77777777" w:rsidR="00CD5C60" w:rsidRPr="00262071" w:rsidRDefault="007152A3" w:rsidP="007F7DD5">
            <w:pPr>
              <w:jc w:val="right"/>
              <w:rPr>
                <w:rFonts w:eastAsia="Arial Unicode MS" w:cs="Arial"/>
              </w:rPr>
            </w:pPr>
            <w:r>
              <w:rPr>
                <w:rFonts w:eastAsia="Arial Unicode MS" w:cs="Arial"/>
              </w:rPr>
              <w:t>1.510.779</w:t>
            </w:r>
          </w:p>
        </w:tc>
      </w:tr>
      <w:tr w:rsidR="00CD5C60" w:rsidRPr="00262071" w14:paraId="278283A2" w14:textId="77777777" w:rsidTr="00BD2ED1">
        <w:tc>
          <w:tcPr>
            <w:tcW w:w="3279" w:type="dxa"/>
            <w:tcBorders>
              <w:top w:val="dotted" w:sz="4" w:space="0" w:color="auto"/>
              <w:bottom w:val="dotted" w:sz="4" w:space="0" w:color="auto"/>
            </w:tcBorders>
          </w:tcPr>
          <w:p w14:paraId="6E6615BA" w14:textId="77777777" w:rsidR="00CD5C60" w:rsidRPr="00262071" w:rsidRDefault="00CD5C60" w:rsidP="007F7DD5">
            <w:pPr>
              <w:jc w:val="left"/>
              <w:rPr>
                <w:rFonts w:eastAsia="Arial Unicode MS" w:cs="Arial"/>
              </w:rPr>
            </w:pPr>
            <w:r w:rsidRPr="00262071">
              <w:rPr>
                <w:rFonts w:eastAsia="Arial Unicode MS" w:cs="Arial"/>
              </w:rPr>
              <w:t>participation aux appels d'offres pour des marchés hors de l'Union européenne</w:t>
            </w:r>
          </w:p>
        </w:tc>
        <w:tc>
          <w:tcPr>
            <w:tcW w:w="1312" w:type="dxa"/>
            <w:tcBorders>
              <w:top w:val="dotted" w:sz="4" w:space="0" w:color="auto"/>
              <w:bottom w:val="dotted" w:sz="4" w:space="0" w:color="auto"/>
            </w:tcBorders>
            <w:shd w:val="clear" w:color="auto" w:fill="auto"/>
          </w:tcPr>
          <w:p w14:paraId="5D5C6D97" w14:textId="77777777" w:rsidR="00CD5C60" w:rsidRPr="00262071" w:rsidRDefault="007152A3" w:rsidP="007F7DD5">
            <w:pPr>
              <w:jc w:val="center"/>
              <w:rPr>
                <w:rFonts w:eastAsia="Arial Unicode MS" w:cs="Arial"/>
              </w:rPr>
            </w:pPr>
            <w:r>
              <w:rPr>
                <w:rFonts w:eastAsia="Arial Unicode MS" w:cs="Arial"/>
              </w:rPr>
              <w:t>8</w:t>
            </w:r>
          </w:p>
        </w:tc>
        <w:tc>
          <w:tcPr>
            <w:tcW w:w="1454" w:type="dxa"/>
            <w:tcBorders>
              <w:top w:val="dotted" w:sz="4" w:space="0" w:color="auto"/>
              <w:bottom w:val="dotted" w:sz="4" w:space="0" w:color="auto"/>
            </w:tcBorders>
            <w:shd w:val="clear" w:color="auto" w:fill="auto"/>
          </w:tcPr>
          <w:p w14:paraId="3DE51EC9" w14:textId="77777777" w:rsidR="00CD5C60" w:rsidRPr="00262071" w:rsidRDefault="007152A3" w:rsidP="007F7DD5">
            <w:pPr>
              <w:jc w:val="center"/>
              <w:rPr>
                <w:rFonts w:eastAsia="Arial Unicode MS" w:cs="Arial"/>
              </w:rPr>
            </w:pPr>
            <w:r>
              <w:rPr>
                <w:rFonts w:eastAsia="Arial Unicode MS" w:cs="Arial"/>
              </w:rPr>
              <w:t>7</w:t>
            </w:r>
          </w:p>
        </w:tc>
        <w:tc>
          <w:tcPr>
            <w:tcW w:w="1521" w:type="dxa"/>
            <w:tcBorders>
              <w:top w:val="dotted" w:sz="4" w:space="0" w:color="auto"/>
              <w:bottom w:val="dotted" w:sz="4" w:space="0" w:color="auto"/>
            </w:tcBorders>
          </w:tcPr>
          <w:p w14:paraId="19DAD233" w14:textId="77777777" w:rsidR="00CD5C60" w:rsidRPr="00262071" w:rsidRDefault="007152A3" w:rsidP="007F7DD5">
            <w:pPr>
              <w:jc w:val="center"/>
              <w:rPr>
                <w:rFonts w:eastAsia="Arial Unicode MS" w:cs="Arial"/>
              </w:rPr>
            </w:pPr>
            <w:r>
              <w:rPr>
                <w:rFonts w:eastAsia="Arial Unicode MS" w:cs="Arial"/>
              </w:rPr>
              <w:t>6</w:t>
            </w:r>
          </w:p>
        </w:tc>
        <w:tc>
          <w:tcPr>
            <w:tcW w:w="1156" w:type="dxa"/>
            <w:tcBorders>
              <w:top w:val="dotted" w:sz="4" w:space="0" w:color="auto"/>
              <w:bottom w:val="dotted" w:sz="4" w:space="0" w:color="auto"/>
            </w:tcBorders>
          </w:tcPr>
          <w:p w14:paraId="7ABEA572" w14:textId="77777777" w:rsidR="00CD5C60" w:rsidRPr="00262071" w:rsidRDefault="007152A3" w:rsidP="007F7DD5">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7EDE0C15" w14:textId="77777777" w:rsidR="00CD5C60" w:rsidRPr="00262071" w:rsidRDefault="007152A3" w:rsidP="007F7DD5">
            <w:pPr>
              <w:jc w:val="right"/>
              <w:rPr>
                <w:rFonts w:eastAsia="Arial Unicode MS" w:cs="Arial"/>
              </w:rPr>
            </w:pPr>
            <w:r>
              <w:rPr>
                <w:rFonts w:eastAsia="Arial Unicode MS" w:cs="Arial"/>
              </w:rPr>
              <w:t>27.283</w:t>
            </w:r>
          </w:p>
        </w:tc>
      </w:tr>
      <w:tr w:rsidR="00CD5C60" w:rsidRPr="00262071" w14:paraId="69C28556" w14:textId="77777777" w:rsidTr="00BD2ED1">
        <w:tc>
          <w:tcPr>
            <w:tcW w:w="3279" w:type="dxa"/>
            <w:tcBorders>
              <w:top w:val="dotted" w:sz="4" w:space="0" w:color="auto"/>
              <w:bottom w:val="dotted" w:sz="4" w:space="0" w:color="auto"/>
            </w:tcBorders>
          </w:tcPr>
          <w:p w14:paraId="55009705" w14:textId="77777777" w:rsidR="00CD5C60" w:rsidRPr="00262071" w:rsidRDefault="00CD5C60" w:rsidP="00CD5C60">
            <w:pPr>
              <w:jc w:val="left"/>
              <w:rPr>
                <w:rFonts w:eastAsia="Arial Unicode MS" w:cs="Arial"/>
              </w:rPr>
            </w:pPr>
            <w:r w:rsidRPr="00262071">
              <w:rPr>
                <w:rFonts w:eastAsia="Arial Unicode MS" w:cs="Arial"/>
              </w:rPr>
              <w:t>ouverture de bureaux de représentation hors de l'Union européenne</w:t>
            </w:r>
          </w:p>
        </w:tc>
        <w:tc>
          <w:tcPr>
            <w:tcW w:w="1312" w:type="dxa"/>
            <w:tcBorders>
              <w:top w:val="dotted" w:sz="4" w:space="0" w:color="auto"/>
              <w:bottom w:val="dotted" w:sz="4" w:space="0" w:color="auto"/>
            </w:tcBorders>
            <w:shd w:val="clear" w:color="auto" w:fill="auto"/>
          </w:tcPr>
          <w:p w14:paraId="12AE8B5D" w14:textId="77777777" w:rsidR="00CD5C60" w:rsidRPr="00262071" w:rsidRDefault="007152A3" w:rsidP="007F7DD5">
            <w:pPr>
              <w:jc w:val="center"/>
              <w:rPr>
                <w:rFonts w:eastAsia="Arial Unicode MS" w:cs="Arial"/>
              </w:rPr>
            </w:pPr>
            <w:r>
              <w:rPr>
                <w:rFonts w:eastAsia="Arial Unicode MS" w:cs="Arial"/>
              </w:rPr>
              <w:t>2</w:t>
            </w:r>
          </w:p>
        </w:tc>
        <w:tc>
          <w:tcPr>
            <w:tcW w:w="1454" w:type="dxa"/>
            <w:tcBorders>
              <w:top w:val="dotted" w:sz="4" w:space="0" w:color="auto"/>
              <w:bottom w:val="dotted" w:sz="4" w:space="0" w:color="auto"/>
            </w:tcBorders>
            <w:shd w:val="clear" w:color="auto" w:fill="auto"/>
          </w:tcPr>
          <w:p w14:paraId="4D251B84" w14:textId="77777777" w:rsidR="00CD5C60" w:rsidRPr="00262071" w:rsidRDefault="007152A3" w:rsidP="007F7DD5">
            <w:pPr>
              <w:jc w:val="center"/>
              <w:rPr>
                <w:rFonts w:eastAsia="Arial Unicode MS" w:cs="Arial"/>
              </w:rPr>
            </w:pPr>
            <w:r>
              <w:rPr>
                <w:rFonts w:eastAsia="Arial Unicode MS" w:cs="Arial"/>
              </w:rPr>
              <w:t>0</w:t>
            </w:r>
          </w:p>
        </w:tc>
        <w:tc>
          <w:tcPr>
            <w:tcW w:w="1521" w:type="dxa"/>
            <w:tcBorders>
              <w:top w:val="dotted" w:sz="4" w:space="0" w:color="auto"/>
              <w:bottom w:val="dotted" w:sz="4" w:space="0" w:color="auto"/>
            </w:tcBorders>
          </w:tcPr>
          <w:p w14:paraId="239D81A7" w14:textId="77777777" w:rsidR="00CD5C60" w:rsidRPr="00262071" w:rsidRDefault="007152A3" w:rsidP="007F7DD5">
            <w:pPr>
              <w:jc w:val="center"/>
              <w:rPr>
                <w:rFonts w:eastAsia="Arial Unicode MS" w:cs="Arial"/>
              </w:rPr>
            </w:pPr>
            <w:r>
              <w:rPr>
                <w:rFonts w:eastAsia="Arial Unicode MS" w:cs="Arial"/>
              </w:rPr>
              <w:t>0</w:t>
            </w:r>
          </w:p>
        </w:tc>
        <w:tc>
          <w:tcPr>
            <w:tcW w:w="1156" w:type="dxa"/>
            <w:tcBorders>
              <w:top w:val="dotted" w:sz="4" w:space="0" w:color="auto"/>
              <w:bottom w:val="dotted" w:sz="4" w:space="0" w:color="auto"/>
            </w:tcBorders>
          </w:tcPr>
          <w:p w14:paraId="6C83B051" w14:textId="77777777" w:rsidR="00CD5C60" w:rsidRPr="00262071" w:rsidRDefault="007152A3"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13100CAA" w14:textId="77777777" w:rsidR="00CD5C60" w:rsidRPr="00262071" w:rsidRDefault="00CD5C60" w:rsidP="007F7DD5">
            <w:pPr>
              <w:jc w:val="right"/>
              <w:rPr>
                <w:rFonts w:eastAsia="Arial Unicode MS" w:cs="Arial"/>
              </w:rPr>
            </w:pPr>
            <w:r>
              <w:rPr>
                <w:rFonts w:eastAsia="Arial Unicode MS" w:cs="Arial"/>
              </w:rPr>
              <w:t>0</w:t>
            </w:r>
          </w:p>
        </w:tc>
      </w:tr>
      <w:tr w:rsidR="00CD5C60" w:rsidRPr="00262071" w14:paraId="0A0FD368" w14:textId="77777777" w:rsidTr="00BD2ED1">
        <w:tc>
          <w:tcPr>
            <w:tcW w:w="3279" w:type="dxa"/>
            <w:tcBorders>
              <w:top w:val="single" w:sz="18" w:space="0" w:color="auto"/>
              <w:bottom w:val="single" w:sz="18" w:space="0" w:color="auto"/>
            </w:tcBorders>
          </w:tcPr>
          <w:p w14:paraId="66821B31" w14:textId="77777777" w:rsidR="00CD5C60" w:rsidRPr="00262071" w:rsidRDefault="00CD5C60" w:rsidP="007F7DD5">
            <w:pPr>
              <w:rPr>
                <w:rFonts w:eastAsia="Arial Unicode MS" w:cs="Arial"/>
                <w:bCs/>
              </w:rPr>
            </w:pPr>
            <w:r w:rsidRPr="00262071">
              <w:rPr>
                <w:rFonts w:eastAsia="Arial Unicode MS" w:cs="Arial"/>
                <w:bCs/>
              </w:rPr>
              <w:t>TOTAL</w:t>
            </w:r>
          </w:p>
        </w:tc>
        <w:tc>
          <w:tcPr>
            <w:tcW w:w="1312" w:type="dxa"/>
            <w:tcBorders>
              <w:top w:val="single" w:sz="18" w:space="0" w:color="auto"/>
              <w:bottom w:val="single" w:sz="18" w:space="0" w:color="auto"/>
            </w:tcBorders>
            <w:shd w:val="clear" w:color="auto" w:fill="auto"/>
          </w:tcPr>
          <w:p w14:paraId="285A16AC" w14:textId="77777777" w:rsidR="00CD5C60" w:rsidRPr="00262071" w:rsidRDefault="007152A3" w:rsidP="007F7DD5">
            <w:pPr>
              <w:jc w:val="center"/>
              <w:rPr>
                <w:rFonts w:eastAsia="Arial Unicode MS" w:cs="Arial"/>
                <w:bCs/>
              </w:rPr>
            </w:pPr>
            <w:r>
              <w:rPr>
                <w:rFonts w:eastAsia="Arial Unicode MS" w:cs="Arial"/>
                <w:bCs/>
              </w:rPr>
              <w:t>1.212</w:t>
            </w:r>
          </w:p>
        </w:tc>
        <w:tc>
          <w:tcPr>
            <w:tcW w:w="1454" w:type="dxa"/>
            <w:tcBorders>
              <w:top w:val="single" w:sz="18" w:space="0" w:color="auto"/>
              <w:bottom w:val="single" w:sz="18" w:space="0" w:color="auto"/>
            </w:tcBorders>
            <w:shd w:val="clear" w:color="auto" w:fill="auto"/>
          </w:tcPr>
          <w:p w14:paraId="23247F3B" w14:textId="77777777" w:rsidR="00CD5C60" w:rsidRPr="00262071" w:rsidRDefault="007152A3" w:rsidP="007F7DD5">
            <w:pPr>
              <w:jc w:val="center"/>
              <w:rPr>
                <w:rFonts w:eastAsia="Arial Unicode MS" w:cs="Arial"/>
                <w:bCs/>
              </w:rPr>
            </w:pPr>
            <w:r>
              <w:rPr>
                <w:rFonts w:eastAsia="Arial Unicode MS" w:cs="Arial"/>
                <w:bCs/>
              </w:rPr>
              <w:t>1.100</w:t>
            </w:r>
          </w:p>
        </w:tc>
        <w:tc>
          <w:tcPr>
            <w:tcW w:w="1521" w:type="dxa"/>
            <w:tcBorders>
              <w:top w:val="single" w:sz="18" w:space="0" w:color="auto"/>
              <w:bottom w:val="single" w:sz="18" w:space="0" w:color="auto"/>
            </w:tcBorders>
          </w:tcPr>
          <w:p w14:paraId="4A31BD7E" w14:textId="77777777" w:rsidR="00CD5C60" w:rsidRPr="00262071" w:rsidRDefault="007152A3" w:rsidP="007F7DD5">
            <w:pPr>
              <w:jc w:val="center"/>
              <w:rPr>
                <w:rFonts w:eastAsia="Arial Unicode MS" w:cs="Arial"/>
                <w:bCs/>
              </w:rPr>
            </w:pPr>
            <w:r>
              <w:rPr>
                <w:rFonts w:eastAsia="Arial Unicode MS" w:cs="Arial"/>
                <w:bCs/>
              </w:rPr>
              <w:t>896</w:t>
            </w:r>
          </w:p>
        </w:tc>
        <w:tc>
          <w:tcPr>
            <w:tcW w:w="1156" w:type="dxa"/>
            <w:tcBorders>
              <w:top w:val="single" w:sz="18" w:space="0" w:color="auto"/>
              <w:bottom w:val="single" w:sz="18" w:space="0" w:color="auto"/>
            </w:tcBorders>
          </w:tcPr>
          <w:p w14:paraId="713F7A6A" w14:textId="77777777" w:rsidR="00CD5C60" w:rsidRPr="00262071" w:rsidRDefault="007152A3" w:rsidP="007F7DD5">
            <w:pPr>
              <w:jc w:val="center"/>
              <w:rPr>
                <w:rFonts w:eastAsia="Arial Unicode MS" w:cs="Arial"/>
                <w:bCs/>
              </w:rPr>
            </w:pPr>
            <w:r>
              <w:rPr>
                <w:rFonts w:eastAsia="Arial Unicode MS" w:cs="Arial"/>
                <w:bCs/>
              </w:rPr>
              <w:t>204</w:t>
            </w:r>
          </w:p>
        </w:tc>
        <w:tc>
          <w:tcPr>
            <w:tcW w:w="1276" w:type="dxa"/>
            <w:tcBorders>
              <w:top w:val="single" w:sz="18" w:space="0" w:color="auto"/>
              <w:bottom w:val="single" w:sz="18" w:space="0" w:color="auto"/>
            </w:tcBorders>
            <w:shd w:val="clear" w:color="auto" w:fill="auto"/>
          </w:tcPr>
          <w:p w14:paraId="2B482713" w14:textId="77777777" w:rsidR="00CD5C60" w:rsidRPr="00262071" w:rsidRDefault="007152A3" w:rsidP="007F7DD5">
            <w:pPr>
              <w:jc w:val="center"/>
              <w:rPr>
                <w:rFonts w:eastAsia="Arial Unicode MS" w:cs="Arial"/>
                <w:bCs/>
              </w:rPr>
            </w:pPr>
            <w:r>
              <w:rPr>
                <w:rFonts w:eastAsia="Arial Unicode MS" w:cs="Arial"/>
                <w:bCs/>
              </w:rPr>
              <w:t>2.669.444</w:t>
            </w:r>
          </w:p>
        </w:tc>
      </w:tr>
    </w:tbl>
    <w:p w14:paraId="1C2DE58B" w14:textId="77777777" w:rsidR="00BD2ED1" w:rsidRDefault="00BD2ED1" w:rsidP="00CD5C60">
      <w:pPr>
        <w:rPr>
          <w:rFonts w:cs="Arial"/>
        </w:rPr>
      </w:pPr>
    </w:p>
    <w:p w14:paraId="27CBD825" w14:textId="77777777" w:rsidR="00CD5C60" w:rsidRPr="00262071" w:rsidRDefault="00CD5C60" w:rsidP="00CD5C60">
      <w:pPr>
        <w:rPr>
          <w:rFonts w:cs="Arial"/>
        </w:rPr>
      </w:pPr>
      <w:r>
        <w:rPr>
          <w:rFonts w:cs="Arial"/>
          <w:noProof/>
          <w:lang w:eastAsia="fr-BE"/>
        </w:rPr>
        <w:lastRenderedPageBreak/>
        <w:drawing>
          <wp:inline distT="0" distB="0" distL="0" distR="0" wp14:anchorId="77624D90" wp14:editId="11468221">
            <wp:extent cx="5162550" cy="1809750"/>
            <wp:effectExtent l="0" t="0" r="0" b="0"/>
            <wp:docPr id="31"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2FC454" w14:textId="77777777" w:rsidR="00CD5C60" w:rsidRPr="00262071" w:rsidRDefault="00CD5C60" w:rsidP="00BD2ED1">
      <w:pPr>
        <w:pStyle w:val="Titre3"/>
        <w:rPr>
          <w:rFonts w:eastAsia="Arial Unicode MS"/>
        </w:rPr>
      </w:pPr>
      <w:r w:rsidRPr="00262071">
        <w:rPr>
          <w:rFonts w:eastAsia="Arial Unicode MS"/>
        </w:rPr>
        <w:t>Base légale</w:t>
      </w:r>
    </w:p>
    <w:p w14:paraId="0D8BAFE6" w14:textId="77777777" w:rsidR="00CD5C60" w:rsidRPr="00262071" w:rsidRDefault="00CD5C60" w:rsidP="00CD5C60">
      <w:pPr>
        <w:rPr>
          <w:rFonts w:eastAsia="Arial Unicode MS" w:cs="Arial"/>
        </w:rPr>
      </w:pPr>
      <w:r w:rsidRPr="00262071">
        <w:rPr>
          <w:rFonts w:eastAsia="Arial Unicode MS" w:cs="Arial"/>
        </w:rPr>
        <w:t>Ordonnance du 13 janvier 1994 concernant la promotion du commerce extérieur de la Région de Bruxelles-Capitale.</w:t>
      </w:r>
    </w:p>
    <w:p w14:paraId="42E7B4D0" w14:textId="77777777" w:rsidR="00CD5C60" w:rsidRDefault="00CD5C60" w:rsidP="00CD5C60">
      <w:pPr>
        <w:rPr>
          <w:rFonts w:eastAsia="Arial Unicode MS" w:cs="Arial"/>
        </w:rPr>
      </w:pPr>
      <w:r w:rsidRPr="00262071">
        <w:rPr>
          <w:rFonts w:eastAsia="Arial Unicode MS" w:cs="Arial"/>
        </w:rPr>
        <w:t>Arrêté du 5 juillet 2012 du Gouvernement de la Région de Bruxelles-Capitale portant exécution de l’ordonnance précitée.</w:t>
      </w:r>
    </w:p>
    <w:p w14:paraId="4E107A7C" w14:textId="77777777" w:rsidR="00BD2ED1" w:rsidRPr="00262071" w:rsidRDefault="00BD2ED1" w:rsidP="00BD2ED1">
      <w:pPr>
        <w:pStyle w:val="Titre3"/>
        <w:rPr>
          <w:rFonts w:eastAsia="Arial Unicode MS"/>
        </w:rPr>
      </w:pPr>
      <w:r>
        <w:rPr>
          <w:rFonts w:eastAsia="Arial Unicode MS"/>
        </w:rPr>
        <w:t>Constatations</w:t>
      </w:r>
    </w:p>
    <w:p w14:paraId="6937C89A" w14:textId="77777777" w:rsidR="00BD2ED1" w:rsidRDefault="00BD2ED1" w:rsidP="00BD2ED1">
      <w:pPr>
        <w:rPr>
          <w:rFonts w:eastAsia="Arial Unicode MS" w:cs="Arial"/>
        </w:rPr>
      </w:pPr>
      <w:r>
        <w:rPr>
          <w:rFonts w:eastAsia="Arial Unicode MS" w:cs="Arial"/>
        </w:rPr>
        <w:t xml:space="preserve">En </w:t>
      </w:r>
      <w:r w:rsidR="00600581">
        <w:rPr>
          <w:rFonts w:eastAsia="Arial Unicode MS" w:cs="Arial"/>
        </w:rPr>
        <w:t xml:space="preserve">2017, 1.100 </w:t>
      </w:r>
      <w:r w:rsidRPr="00262071">
        <w:rPr>
          <w:rFonts w:eastAsia="Arial Unicode MS" w:cs="Arial"/>
        </w:rPr>
        <w:t xml:space="preserve">dossiers ont fait l’objet d’une décision, dont </w:t>
      </w:r>
      <w:r w:rsidR="00600581">
        <w:rPr>
          <w:rFonts w:eastAsia="Arial Unicode MS" w:cs="Arial"/>
        </w:rPr>
        <w:t>896</w:t>
      </w:r>
      <w:r>
        <w:rPr>
          <w:rFonts w:eastAsia="Arial Unicode MS" w:cs="Arial"/>
        </w:rPr>
        <w:t xml:space="preserve"> étaient </w:t>
      </w:r>
      <w:r w:rsidRPr="00262071">
        <w:rPr>
          <w:rFonts w:eastAsia="Arial Unicode MS" w:cs="Arial"/>
        </w:rPr>
        <w:t>positives (</w:t>
      </w:r>
      <w:r w:rsidR="00600581">
        <w:rPr>
          <w:rFonts w:eastAsia="Arial Unicode MS" w:cs="Arial"/>
        </w:rPr>
        <w:t>82</w:t>
      </w:r>
      <w:r>
        <w:rPr>
          <w:rFonts w:eastAsia="Arial Unicode MS" w:cs="Arial"/>
        </w:rPr>
        <w:t>% des demandes).</w:t>
      </w:r>
    </w:p>
    <w:p w14:paraId="1C17A8D2" w14:textId="77777777" w:rsidR="00BD2ED1" w:rsidRPr="00262071" w:rsidRDefault="00BD2ED1" w:rsidP="00BD2ED1">
      <w:pPr>
        <w:rPr>
          <w:rFonts w:eastAsia="Arial Unicode MS" w:cs="Arial"/>
        </w:rPr>
      </w:pPr>
      <w:r>
        <w:rPr>
          <w:rFonts w:eastAsia="Arial Unicode MS" w:cs="Arial"/>
        </w:rPr>
        <w:t xml:space="preserve">Comparativement à l’année précédente, on observe une </w:t>
      </w:r>
      <w:r w:rsidR="001516DF">
        <w:rPr>
          <w:rFonts w:eastAsia="Arial Unicode MS" w:cs="Arial"/>
        </w:rPr>
        <w:t>décroissance</w:t>
      </w:r>
      <w:r>
        <w:rPr>
          <w:rFonts w:eastAsia="Arial Unicode MS" w:cs="Arial"/>
        </w:rPr>
        <w:t xml:space="preserve"> du</w:t>
      </w:r>
      <w:r w:rsidR="001516DF">
        <w:rPr>
          <w:rFonts w:eastAsia="Arial Unicode MS" w:cs="Arial"/>
        </w:rPr>
        <w:t xml:space="preserve"> nombre de dossiers traités de </w:t>
      </w:r>
      <w:r w:rsidR="00600581">
        <w:rPr>
          <w:rFonts w:eastAsia="Arial Unicode MS" w:cs="Arial"/>
        </w:rPr>
        <w:t>8,86</w:t>
      </w:r>
      <w:r>
        <w:rPr>
          <w:rFonts w:eastAsia="Arial Unicode MS" w:cs="Arial"/>
        </w:rPr>
        <w:t>% (1.</w:t>
      </w:r>
      <w:r w:rsidR="00600581">
        <w:rPr>
          <w:rFonts w:eastAsia="Arial Unicode MS" w:cs="Arial"/>
        </w:rPr>
        <w:t>263), dans une proportion similaire à celle du nombre de dossiers introduits (</w:t>
      </w:r>
      <w:r w:rsidR="00A15FA7">
        <w:rPr>
          <w:rFonts w:eastAsia="Arial Unicode MS" w:cs="Arial"/>
        </w:rPr>
        <w:t>9,69%). Le taux de refus a quant à lui augmenté, passant de 13% en 2016 à 18% en 2017.</w:t>
      </w:r>
    </w:p>
    <w:p w14:paraId="52B430D7" w14:textId="77777777" w:rsidR="00CD5C60" w:rsidRDefault="00CD5C60" w:rsidP="00BD2ED1">
      <w:pPr>
        <w:pStyle w:val="Titre3"/>
        <w:rPr>
          <w:rFonts w:eastAsia="Arial Unicode MS"/>
        </w:rPr>
      </w:pPr>
      <w:r w:rsidRPr="00FA1DDD">
        <w:rPr>
          <w:rFonts w:eastAsia="Arial Unicode MS"/>
        </w:rPr>
        <w:t xml:space="preserve">Répartition des </w:t>
      </w:r>
      <w:r>
        <w:rPr>
          <w:rFonts w:eastAsia="Arial Unicode MS"/>
        </w:rPr>
        <w:t>dossiers</w:t>
      </w:r>
      <w:r w:rsidRPr="00FA1DDD">
        <w:rPr>
          <w:rFonts w:eastAsia="Arial Unicode MS"/>
        </w:rPr>
        <w:t xml:space="preserve"> selon la taille de l’entreprise</w:t>
      </w:r>
    </w:p>
    <w:p w14:paraId="65C29CEB" w14:textId="77777777" w:rsidR="00CD5C60" w:rsidRDefault="00CD5C60" w:rsidP="00CD5C60">
      <w:pPr>
        <w:rPr>
          <w:rFonts w:eastAsia="Arial Unicode MS" w:cs="Arial"/>
        </w:rPr>
      </w:pPr>
      <w:r>
        <w:rPr>
          <w:rFonts w:eastAsia="Arial Unicode MS" w:cs="Arial"/>
        </w:rPr>
        <w:t xml:space="preserve">        </w:t>
      </w:r>
      <w:r w:rsidR="00BD2ED1">
        <w:rPr>
          <w:rFonts w:eastAsia="Arial Unicode MS" w:cs="Arial"/>
        </w:rPr>
        <w:tab/>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760AC407" w14:textId="77777777" w:rsidR="00BD2ED1" w:rsidRPr="00262071" w:rsidRDefault="00BD2ED1" w:rsidP="00CD5C60">
      <w:pPr>
        <w:rPr>
          <w:rFonts w:eastAsia="Arial Unicode MS" w:cs="Arial"/>
          <w:b/>
          <w:u w:val="single"/>
        </w:rPr>
      </w:pPr>
      <w:r>
        <w:rPr>
          <w:rFonts w:eastAsia="Arial Unicode MS" w:cs="Arial"/>
        </w:rPr>
        <w:t>Les dossiers d’incitants financiers à l’exportation sont majoritairement introduits par des micro entreprises.</w:t>
      </w:r>
    </w:p>
    <w:p w14:paraId="160F2686" w14:textId="77777777" w:rsidR="00CD5C60" w:rsidRDefault="00CD5C60" w:rsidP="00CD5C60">
      <w:pPr>
        <w:rPr>
          <w:rFonts w:cs="Arial"/>
        </w:rPr>
      </w:pPr>
      <w:r>
        <w:rPr>
          <w:rFonts w:cs="Arial"/>
          <w:noProof/>
          <w:lang w:eastAsia="fr-BE"/>
        </w:rPr>
        <w:drawing>
          <wp:inline distT="0" distB="0" distL="0" distR="0" wp14:anchorId="58FAE65B" wp14:editId="2C641E01">
            <wp:extent cx="5819775" cy="1485900"/>
            <wp:effectExtent l="0" t="0" r="0" b="0"/>
            <wp:docPr id="30"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459E65" w14:textId="77777777" w:rsidR="00BD2ED1" w:rsidRDefault="00BD2ED1">
      <w:pPr>
        <w:jc w:val="left"/>
        <w:rPr>
          <w:rFonts w:eastAsia="Arial Unicode MS" w:cstheme="majorBidi"/>
          <w:bCs/>
          <w:color w:val="0A00BE"/>
        </w:rPr>
      </w:pPr>
      <w:r>
        <w:rPr>
          <w:rFonts w:eastAsia="Arial Unicode MS"/>
        </w:rPr>
        <w:br w:type="page"/>
      </w:r>
    </w:p>
    <w:p w14:paraId="2FDA7FFB" w14:textId="77777777" w:rsidR="00CD5C60" w:rsidRDefault="00CD5C60" w:rsidP="00BD2ED1">
      <w:pPr>
        <w:pStyle w:val="Titre3"/>
        <w:rPr>
          <w:rFonts w:eastAsia="Arial Unicode MS"/>
        </w:rPr>
      </w:pPr>
      <w:r w:rsidRPr="00FA1DDD">
        <w:rPr>
          <w:rFonts w:eastAsia="Arial Unicode MS"/>
        </w:rPr>
        <w:lastRenderedPageBreak/>
        <w:t>Répartition des primes octroyées selon le secteur d’activités (NACE BEL)</w:t>
      </w:r>
    </w:p>
    <w:p w14:paraId="6C6C7A40" w14:textId="77777777" w:rsidR="00CD5C60" w:rsidRDefault="00CD5C60" w:rsidP="00CD5C60">
      <w:pPr>
        <w:rPr>
          <w:rFonts w:eastAsia="Arial Unicode MS" w:cs="Arial"/>
        </w:rPr>
      </w:pPr>
      <w:r>
        <w:rPr>
          <w:rFonts w:eastAsia="Arial Unicode MS" w:cs="Arial"/>
        </w:rPr>
        <w:t xml:space="preserve">        </w:t>
      </w:r>
      <w:r w:rsidR="00BD2ED1">
        <w:rPr>
          <w:rFonts w:eastAsia="Arial Unicode MS" w:cs="Arial"/>
        </w:rPr>
        <w:tab/>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189AE0B0" w14:textId="77777777" w:rsidR="00BD2ED1" w:rsidRDefault="00BD2ED1" w:rsidP="00CD5C60">
      <w:pPr>
        <w:rPr>
          <w:rFonts w:eastAsia="Arial Unicode MS" w:cs="Arial"/>
        </w:rPr>
      </w:pPr>
      <w:r>
        <w:rPr>
          <w:rFonts w:eastAsia="Arial Unicode MS" w:cs="Arial"/>
        </w:rPr>
        <w:t>Le secteur d’activités bénéficiant le plus des aides à l’exportation est le commerce.</w:t>
      </w:r>
    </w:p>
    <w:p w14:paraId="08AA8819" w14:textId="77777777" w:rsidR="00CD5C60" w:rsidRDefault="00CD5C60" w:rsidP="00CD5C60">
      <w:pPr>
        <w:rPr>
          <w:rFonts w:eastAsia="Arial Unicode MS" w:cs="Arial"/>
        </w:rPr>
      </w:pPr>
      <w:r>
        <w:rPr>
          <w:rFonts w:eastAsia="Arial Unicode MS" w:cs="Arial"/>
          <w:noProof/>
          <w:lang w:eastAsia="fr-BE"/>
        </w:rPr>
        <w:drawing>
          <wp:inline distT="0" distB="0" distL="0" distR="0" wp14:anchorId="17DFEA40" wp14:editId="042A6395">
            <wp:extent cx="5857875" cy="2962275"/>
            <wp:effectExtent l="0" t="0" r="0" b="0"/>
            <wp:docPr id="29" name="Graphique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33D77D" w14:textId="77777777" w:rsidR="00CD5C60" w:rsidRDefault="00CD5C60">
      <w:pPr>
        <w:jc w:val="left"/>
      </w:pPr>
      <w:r>
        <w:br w:type="page"/>
      </w:r>
    </w:p>
    <w:p w14:paraId="0CDE96ED" w14:textId="77777777" w:rsidR="00107150" w:rsidRDefault="00107150" w:rsidP="00107150">
      <w:pPr>
        <w:pStyle w:val="Titre1"/>
      </w:pPr>
      <w:bookmarkStart w:id="16" w:name="_Toc481048807"/>
      <w:r>
        <w:lastRenderedPageBreak/>
        <w:t xml:space="preserve">Loi du 03/12/2005 instaurant une </w:t>
      </w:r>
      <w:r w:rsidR="00BD2ED1">
        <w:t>indemnité</w:t>
      </w:r>
      <w:r>
        <w:t xml:space="preserve"> compensatoire de pertes de revenus en faveur des travailleurs indépendants</w:t>
      </w:r>
      <w:bookmarkEnd w:id="16"/>
    </w:p>
    <w:p w14:paraId="5250C4A2" w14:textId="77777777" w:rsidR="0081616A" w:rsidRDefault="0081616A" w:rsidP="0081616A">
      <w:r>
        <w:t>Cette aide consiste en une indemnité octroyée aux indépendants actifs dans la vente de produits ou services et devant fermer temporairement leur établissement en raison de travaux sur le domaine public. L’indemnité consiste en un forfait octroyé par jour de fermeture, à partir du huitième jour qui suit la date de fermeture de l’établissement entravé.</w:t>
      </w:r>
    </w:p>
    <w:p w14:paraId="7F946013" w14:textId="77777777" w:rsidR="007F7DD5" w:rsidRDefault="007F7DD5" w:rsidP="0081616A">
      <w:r>
        <w:t>Nombre de dossiers introduits</w:t>
      </w:r>
      <w:r w:rsidR="0081616A">
        <w:t xml:space="preserve"> en </w:t>
      </w:r>
      <w:r w:rsidR="003C07C5">
        <w:t>2017</w:t>
      </w:r>
      <w:r>
        <w:t xml:space="preserve"> : </w:t>
      </w:r>
      <w:r w:rsidR="003C07C5">
        <w:t>161</w:t>
      </w:r>
    </w:p>
    <w:p w14:paraId="7A36C850" w14:textId="77777777" w:rsidR="007F7DD5" w:rsidRDefault="007F7DD5" w:rsidP="0081616A">
      <w:r>
        <w:t xml:space="preserve">Nombre de dossiers traités : </w:t>
      </w:r>
      <w:r w:rsidR="003C07C5">
        <w:t>149</w:t>
      </w:r>
      <w:r>
        <w:t xml:space="preserve"> dont </w:t>
      </w:r>
      <w:r w:rsidR="003C07C5">
        <w:t>96</w:t>
      </w:r>
      <w:r>
        <w:t xml:space="preserve"> avec décisions positives pour un montant total de </w:t>
      </w:r>
      <w:r w:rsidR="003C07C5">
        <w:t>280.886</w:t>
      </w:r>
      <w:r>
        <w:t xml:space="preserve"> €</w:t>
      </w:r>
      <w:r w:rsidR="0081616A">
        <w:t>.</w:t>
      </w:r>
    </w:p>
    <w:p w14:paraId="22AF9861" w14:textId="77777777" w:rsidR="0081616A" w:rsidRPr="00262071" w:rsidRDefault="0081616A" w:rsidP="0081616A">
      <w:pPr>
        <w:rPr>
          <w:rFonts w:eastAsia="Arial Unicode MS" w:cs="Arial"/>
        </w:rPr>
      </w:pPr>
      <w:r>
        <w:rPr>
          <w:rFonts w:eastAsia="Arial Unicode MS" w:cs="Arial"/>
        </w:rPr>
        <w:t>Comparativement à l’année précédente, on observe une croissance</w:t>
      </w:r>
      <w:r w:rsidR="001516DF">
        <w:rPr>
          <w:rFonts w:eastAsia="Arial Unicode MS" w:cs="Arial"/>
        </w:rPr>
        <w:t xml:space="preserve"> marquée</w:t>
      </w:r>
      <w:r>
        <w:rPr>
          <w:rFonts w:eastAsia="Arial Unicode MS" w:cs="Arial"/>
        </w:rPr>
        <w:t xml:space="preserve"> du nombre de dossiers introduits de </w:t>
      </w:r>
      <w:r w:rsidR="003C07C5">
        <w:rPr>
          <w:rFonts w:eastAsia="Arial Unicode MS" w:cs="Arial"/>
        </w:rPr>
        <w:t>126,76% et</w:t>
      </w:r>
      <w:r>
        <w:rPr>
          <w:rFonts w:eastAsia="Arial Unicode MS" w:cs="Arial"/>
        </w:rPr>
        <w:t xml:space="preserve"> traités de </w:t>
      </w:r>
      <w:r w:rsidR="003C07C5">
        <w:rPr>
          <w:rFonts w:eastAsia="Arial Unicode MS" w:cs="Arial"/>
        </w:rPr>
        <w:t>140,32%. Le taux de refus est quant à lui passé de 21% en 2016 à 36% en 2017.</w:t>
      </w:r>
    </w:p>
    <w:p w14:paraId="457589B2" w14:textId="77777777" w:rsidR="007F7DD5" w:rsidRDefault="007F7DD5" w:rsidP="0081616A">
      <w:r>
        <w:t>Lieux des travaux par commune :</w:t>
      </w:r>
    </w:p>
    <w:p w14:paraId="49303DF1" w14:textId="77777777" w:rsidR="001F7532" w:rsidRDefault="001F7532" w:rsidP="001F7532">
      <w:pPr>
        <w:pStyle w:val="Paragraphedeliste"/>
        <w:numPr>
          <w:ilvl w:val="0"/>
          <w:numId w:val="6"/>
        </w:numPr>
        <w:jc w:val="left"/>
      </w:pPr>
      <w:bookmarkStart w:id="17" w:name="_Toc481048808"/>
      <w:r>
        <w:t>Bruxelles : 10</w:t>
      </w:r>
    </w:p>
    <w:p w14:paraId="5AC51CF1" w14:textId="77777777" w:rsidR="001F7532" w:rsidRDefault="001F7532" w:rsidP="001F7532">
      <w:pPr>
        <w:pStyle w:val="Paragraphedeliste"/>
        <w:numPr>
          <w:ilvl w:val="0"/>
          <w:numId w:val="6"/>
        </w:numPr>
        <w:jc w:val="left"/>
      </w:pPr>
      <w:r>
        <w:t>Schaerbeek : 1</w:t>
      </w:r>
    </w:p>
    <w:p w14:paraId="56F433F3" w14:textId="77777777" w:rsidR="001F7532" w:rsidRDefault="001F7532" w:rsidP="001F7532">
      <w:pPr>
        <w:pStyle w:val="Paragraphedeliste"/>
        <w:numPr>
          <w:ilvl w:val="0"/>
          <w:numId w:val="6"/>
        </w:numPr>
        <w:jc w:val="left"/>
      </w:pPr>
      <w:r>
        <w:t>Ixelles : 15</w:t>
      </w:r>
    </w:p>
    <w:p w14:paraId="7179C86B" w14:textId="77777777" w:rsidR="001F7532" w:rsidRDefault="001F7532" w:rsidP="001F7532">
      <w:pPr>
        <w:pStyle w:val="Paragraphedeliste"/>
        <w:numPr>
          <w:ilvl w:val="0"/>
          <w:numId w:val="6"/>
        </w:numPr>
        <w:jc w:val="left"/>
      </w:pPr>
      <w:r>
        <w:t>Saint-Gilles : 9</w:t>
      </w:r>
    </w:p>
    <w:p w14:paraId="680A9439" w14:textId="77777777" w:rsidR="001F7532" w:rsidRPr="001F7532" w:rsidRDefault="001F7532" w:rsidP="001F7532">
      <w:pPr>
        <w:pStyle w:val="Paragraphedeliste"/>
        <w:numPr>
          <w:ilvl w:val="0"/>
          <w:numId w:val="6"/>
        </w:numPr>
        <w:jc w:val="left"/>
        <w:rPr>
          <w:lang w:val="nl-BE"/>
        </w:rPr>
      </w:pPr>
      <w:r w:rsidRPr="001F7532">
        <w:rPr>
          <w:lang w:val="nl-BE"/>
        </w:rPr>
        <w:t>Anderlecht : 3</w:t>
      </w:r>
    </w:p>
    <w:p w14:paraId="78E54983" w14:textId="77777777" w:rsidR="001F7532" w:rsidRPr="001F7532" w:rsidRDefault="001F7532" w:rsidP="001F7532">
      <w:pPr>
        <w:pStyle w:val="Paragraphedeliste"/>
        <w:numPr>
          <w:ilvl w:val="0"/>
          <w:numId w:val="6"/>
        </w:numPr>
        <w:jc w:val="left"/>
        <w:rPr>
          <w:lang w:val="nl-BE"/>
        </w:rPr>
      </w:pPr>
      <w:r w:rsidRPr="001F7532">
        <w:rPr>
          <w:lang w:val="nl-BE"/>
        </w:rPr>
        <w:t>Molenbeek-Saint-Jean : 21</w:t>
      </w:r>
    </w:p>
    <w:p w14:paraId="0F421BA2" w14:textId="77777777" w:rsidR="001F7532" w:rsidRPr="001F7532" w:rsidRDefault="001F7532" w:rsidP="001F7532">
      <w:pPr>
        <w:pStyle w:val="Paragraphedeliste"/>
        <w:numPr>
          <w:ilvl w:val="0"/>
          <w:numId w:val="6"/>
        </w:numPr>
        <w:jc w:val="left"/>
        <w:rPr>
          <w:lang w:val="nl-BE"/>
        </w:rPr>
      </w:pPr>
      <w:r w:rsidRPr="001F7532">
        <w:rPr>
          <w:lang w:val="nl-BE"/>
        </w:rPr>
        <w:t>Ganshoren : 4</w:t>
      </w:r>
    </w:p>
    <w:p w14:paraId="762ABED6" w14:textId="77777777" w:rsidR="001F7532" w:rsidRDefault="001F7532" w:rsidP="001F7532">
      <w:pPr>
        <w:pStyle w:val="Paragraphedeliste"/>
        <w:numPr>
          <w:ilvl w:val="0"/>
          <w:numId w:val="6"/>
        </w:numPr>
        <w:jc w:val="left"/>
      </w:pPr>
      <w:r>
        <w:t>Jette : 13</w:t>
      </w:r>
    </w:p>
    <w:p w14:paraId="60E7FF4B" w14:textId="77777777" w:rsidR="001F7532" w:rsidRDefault="001F7532" w:rsidP="001F7532">
      <w:pPr>
        <w:pStyle w:val="Paragraphedeliste"/>
        <w:numPr>
          <w:ilvl w:val="0"/>
          <w:numId w:val="6"/>
        </w:numPr>
        <w:jc w:val="left"/>
      </w:pPr>
      <w:r>
        <w:t>Uccle : 19</w:t>
      </w:r>
    </w:p>
    <w:p w14:paraId="3F39BB49" w14:textId="77777777" w:rsidR="001F7532" w:rsidRDefault="001F7532" w:rsidP="001F7532">
      <w:pPr>
        <w:pStyle w:val="Paragraphedeliste"/>
        <w:numPr>
          <w:ilvl w:val="0"/>
          <w:numId w:val="6"/>
        </w:numPr>
        <w:jc w:val="left"/>
      </w:pPr>
      <w:r>
        <w:t>Saint-Josse-Ten-Noode : 1</w:t>
      </w:r>
    </w:p>
    <w:p w14:paraId="24D2AD99" w14:textId="77777777" w:rsidR="0081616A" w:rsidRDefault="0081616A">
      <w:pPr>
        <w:jc w:val="left"/>
        <w:rPr>
          <w:rFonts w:eastAsiaTheme="majorEastAsia" w:cstheme="majorBidi"/>
          <w:b/>
          <w:bCs/>
          <w:color w:val="0A00BE"/>
          <w:sz w:val="28"/>
          <w:szCs w:val="28"/>
        </w:rPr>
      </w:pPr>
      <w:r>
        <w:br w:type="page"/>
      </w:r>
    </w:p>
    <w:p w14:paraId="415A8466" w14:textId="77777777" w:rsidR="00107150" w:rsidRDefault="00107150" w:rsidP="00107150">
      <w:pPr>
        <w:pStyle w:val="Titre1"/>
      </w:pPr>
      <w:r>
        <w:lastRenderedPageBreak/>
        <w:t>Conclusion</w:t>
      </w:r>
      <w:bookmarkEnd w:id="17"/>
    </w:p>
    <w:p w14:paraId="48961146" w14:textId="77777777" w:rsidR="00A63DCA" w:rsidRDefault="00A63DCA" w:rsidP="00A63DCA">
      <w:r>
        <w:t xml:space="preserve">En </w:t>
      </w:r>
      <w:r w:rsidR="000A366E">
        <w:t>2017</w:t>
      </w:r>
      <w:r>
        <w:t xml:space="preserve">, l’administration a enregistré </w:t>
      </w:r>
      <w:r w:rsidRPr="00A63DCA">
        <w:rPr>
          <w:b/>
        </w:rPr>
        <w:t>5.</w:t>
      </w:r>
      <w:r w:rsidR="000A366E">
        <w:rPr>
          <w:b/>
        </w:rPr>
        <w:t>309</w:t>
      </w:r>
      <w:r w:rsidRPr="00A63DCA">
        <w:rPr>
          <w:b/>
        </w:rPr>
        <w:t xml:space="preserve"> demandes d’aides</w:t>
      </w:r>
      <w:r>
        <w:t xml:space="preserve">, dont </w:t>
      </w:r>
      <w:r w:rsidR="000A366E">
        <w:t>environ</w:t>
      </w:r>
      <w:r>
        <w:t xml:space="preserve"> 50% de demande d’aides soft. Près de 4.</w:t>
      </w:r>
      <w:r w:rsidR="000A366E">
        <w:t>676</w:t>
      </w:r>
      <w:r>
        <w:t xml:space="preserve"> dossiers ont fait l’objet d’une décision. Le total des primes calculées s’élève à </w:t>
      </w:r>
      <w:r w:rsidR="000A366E">
        <w:rPr>
          <w:b/>
        </w:rPr>
        <w:t>33,9</w:t>
      </w:r>
      <w:r w:rsidRPr="00A63DCA">
        <w:rPr>
          <w:b/>
        </w:rPr>
        <w:t xml:space="preserve"> millions €</w:t>
      </w:r>
      <w:r>
        <w:t xml:space="preserve">. </w:t>
      </w:r>
    </w:p>
    <w:p w14:paraId="40218A90" w14:textId="77777777" w:rsidR="00A63DCA" w:rsidRDefault="00A63DCA" w:rsidP="00A63DCA">
      <w:r>
        <w:t>Les secteurs d’activités des bénéficiaires diffèrent sensiblement entre les différentes matières traitées. Les aides soft profitent surtout aux secteurs des services (Activités spécialisées, scientifiques et techniques et Information et communication) alors que les aides aux investissements sont principalement octroyées en faveur des entreprises des secteurs du commerce et de l’HORECA, tandis que les aides à l’export concernent principalement le commerce.</w:t>
      </w:r>
    </w:p>
    <w:p w14:paraId="61CD91E0" w14:textId="77777777" w:rsidR="00A63DCA" w:rsidRPr="00A63DCA" w:rsidRDefault="00A63DCA" w:rsidP="00A63DCA">
      <w:pPr>
        <w:rPr>
          <w:b/>
        </w:rPr>
      </w:pPr>
      <w:r w:rsidRPr="00A63DCA">
        <w:rPr>
          <w:b/>
        </w:rPr>
        <w:t>La majorité</w:t>
      </w:r>
      <w:r>
        <w:rPr>
          <w:b/>
        </w:rPr>
        <w:t xml:space="preserve"> des aides concernent les micro </w:t>
      </w:r>
      <w:r w:rsidRPr="00A63DCA">
        <w:rPr>
          <w:b/>
        </w:rPr>
        <w:t>entreprises :</w:t>
      </w:r>
    </w:p>
    <w:p w14:paraId="266216DE" w14:textId="77777777" w:rsidR="00A63DCA" w:rsidRDefault="000A366E" w:rsidP="00A63DCA">
      <w:pPr>
        <w:pStyle w:val="Paragraphedeliste"/>
        <w:numPr>
          <w:ilvl w:val="0"/>
          <w:numId w:val="3"/>
        </w:numPr>
      </w:pPr>
      <w:r>
        <w:t>71</w:t>
      </w:r>
      <w:r w:rsidR="00A63DCA">
        <w:t xml:space="preserve"> % des dossiers octroyés pour les investissements généraux ;</w:t>
      </w:r>
    </w:p>
    <w:p w14:paraId="1C1409FC" w14:textId="77777777" w:rsidR="00A63DCA" w:rsidRDefault="000A366E" w:rsidP="00A63DCA">
      <w:pPr>
        <w:pStyle w:val="Paragraphedeliste"/>
        <w:numPr>
          <w:ilvl w:val="0"/>
          <w:numId w:val="3"/>
        </w:numPr>
      </w:pPr>
      <w:r>
        <w:t>65</w:t>
      </w:r>
      <w:r w:rsidR="00A63DCA">
        <w:t xml:space="preserve"> % des dossiers octroyés pour les investissements spécifiques ;</w:t>
      </w:r>
    </w:p>
    <w:p w14:paraId="47CFB906" w14:textId="77777777" w:rsidR="00A63DCA" w:rsidRDefault="00A63DCA" w:rsidP="00A63DCA">
      <w:pPr>
        <w:pStyle w:val="Paragraphedeliste"/>
        <w:numPr>
          <w:ilvl w:val="0"/>
          <w:numId w:val="3"/>
        </w:numPr>
      </w:pPr>
      <w:r>
        <w:t>76 % des dossiers octroyés pour les aides soft ;</w:t>
      </w:r>
    </w:p>
    <w:p w14:paraId="06FA0907" w14:textId="77777777" w:rsidR="00A63DCA" w:rsidRDefault="000A366E" w:rsidP="00A63DCA">
      <w:pPr>
        <w:pStyle w:val="Paragraphedeliste"/>
        <w:numPr>
          <w:ilvl w:val="0"/>
          <w:numId w:val="3"/>
        </w:numPr>
      </w:pPr>
      <w:r>
        <w:t>77</w:t>
      </w:r>
      <w:r w:rsidR="00A63DCA">
        <w:t xml:space="preserve"> % des dossiers octroyés pour les incitants financiers à l’exportation.</w:t>
      </w:r>
    </w:p>
    <w:p w14:paraId="41390FF5" w14:textId="77777777" w:rsidR="00A63DCA" w:rsidRDefault="00A63DCA" w:rsidP="00A63DCA">
      <w:r>
        <w:t>Le nombre de décisions négatives relativement élevé au niveau des investissements (</w:t>
      </w:r>
      <w:r w:rsidR="000A366E">
        <w:t>33</w:t>
      </w:r>
      <w:r>
        <w:t xml:space="preserve">% pour les investissements généraux et </w:t>
      </w:r>
      <w:r w:rsidR="000A366E">
        <w:t>45</w:t>
      </w:r>
      <w:r>
        <w:t>% pour les investissements spécifiques) est dû aux deux facteurs suivants :</w:t>
      </w:r>
    </w:p>
    <w:p w14:paraId="45260F9B" w14:textId="77777777" w:rsidR="00D41268" w:rsidRDefault="00D41268" w:rsidP="00D41268">
      <w:pPr>
        <w:pStyle w:val="Paragraphedeliste"/>
        <w:numPr>
          <w:ilvl w:val="0"/>
          <w:numId w:val="3"/>
        </w:numPr>
      </w:pPr>
      <w:r>
        <w:t>Les abandons ou les reports de programmes d’investissements sont comptabilisés parmi les refus</w:t>
      </w:r>
    </w:p>
    <w:p w14:paraId="603192D6" w14:textId="77777777" w:rsidR="00A63DCA" w:rsidRDefault="00A63DCA" w:rsidP="00A63DCA">
      <w:pPr>
        <w:pStyle w:val="Paragraphedeliste"/>
        <w:numPr>
          <w:ilvl w:val="0"/>
          <w:numId w:val="3"/>
        </w:numPr>
      </w:pPr>
      <w:r>
        <w:t>Dépassement du délai de 120 jours après la date d’accusé de réception de la demande préalable pour introduire le</w:t>
      </w:r>
      <w:r w:rsidR="00D41268">
        <w:t xml:space="preserve"> dossier définitif.</w:t>
      </w:r>
    </w:p>
    <w:p w14:paraId="68DAFA4D" w14:textId="77777777" w:rsidR="00107150" w:rsidRDefault="00A63DCA" w:rsidP="00A63DCA">
      <w:pPr>
        <w:rPr>
          <w:rFonts w:eastAsiaTheme="majorEastAsia" w:cstheme="majorBidi"/>
          <w:b/>
          <w:bCs/>
          <w:color w:val="0A00BE"/>
          <w:sz w:val="28"/>
          <w:szCs w:val="28"/>
        </w:rPr>
      </w:pPr>
      <w:r>
        <w:t xml:space="preserve">Pour rappel, en </w:t>
      </w:r>
      <w:r w:rsidR="000A366E">
        <w:t>2016</w:t>
      </w:r>
      <w:r>
        <w:t xml:space="preserve">, l’administration </w:t>
      </w:r>
      <w:r w:rsidR="000A366E">
        <w:t>avait enregistré 5.024</w:t>
      </w:r>
      <w:r>
        <w:t xml:space="preserve"> demandes d’aides. On constate ainsi une </w:t>
      </w:r>
      <w:r w:rsidRPr="00CA3F34">
        <w:rPr>
          <w:b/>
        </w:rPr>
        <w:t xml:space="preserve">augmentation du nombre de demandes de </w:t>
      </w:r>
      <w:r w:rsidR="000A366E">
        <w:rPr>
          <w:b/>
        </w:rPr>
        <w:t>5,7</w:t>
      </w:r>
      <w:r w:rsidRPr="00CA3F34">
        <w:rPr>
          <w:b/>
        </w:rPr>
        <w:t xml:space="preserve">% entre </w:t>
      </w:r>
      <w:r w:rsidR="000A366E">
        <w:rPr>
          <w:b/>
        </w:rPr>
        <w:t>2016</w:t>
      </w:r>
      <w:r w:rsidRPr="00CA3F34">
        <w:rPr>
          <w:b/>
        </w:rPr>
        <w:t xml:space="preserve"> et </w:t>
      </w:r>
      <w:r w:rsidR="000A366E">
        <w:rPr>
          <w:b/>
        </w:rPr>
        <w:t>2017</w:t>
      </w:r>
      <w:r>
        <w:t xml:space="preserve">. </w:t>
      </w:r>
      <w:r w:rsidR="00107150">
        <w:br w:type="page"/>
      </w:r>
    </w:p>
    <w:p w14:paraId="33C13EA7" w14:textId="77777777" w:rsidR="00107150" w:rsidRPr="00107150" w:rsidRDefault="00107150" w:rsidP="00107150">
      <w:pPr>
        <w:pStyle w:val="Titre1"/>
      </w:pPr>
      <w:bookmarkStart w:id="18" w:name="_Toc481048809"/>
      <w:r>
        <w:lastRenderedPageBreak/>
        <w:t>Annexe : taille des entreprises et codes NACE BEL</w:t>
      </w:r>
      <w:bookmarkEnd w:id="18"/>
    </w:p>
    <w:p w14:paraId="178D6EFA" w14:textId="77777777" w:rsidR="00CA3F34" w:rsidRDefault="00CA3F34" w:rsidP="00CA3F34">
      <w:pPr>
        <w:pStyle w:val="Titre2"/>
        <w:rPr>
          <w:rFonts w:eastAsia="Arial Unicode MS"/>
        </w:rPr>
      </w:pPr>
      <w:r w:rsidRPr="00FA1DDD">
        <w:rPr>
          <w:rFonts w:eastAsia="Arial Unicode MS"/>
        </w:rPr>
        <w:t>Définition de la taille des entreprises</w:t>
      </w:r>
    </w:p>
    <w:p w14:paraId="27E72C49" w14:textId="77777777" w:rsidR="00CA3F34" w:rsidRPr="00FA1DDD" w:rsidRDefault="00CA3F34" w:rsidP="00CA3F34">
      <w:pPr>
        <w:ind w:left="426"/>
        <w:rPr>
          <w:rFonts w:eastAsia="Arial Unicode MS" w:cs="Arial"/>
          <w:b/>
          <w:sz w:val="24"/>
          <w:szCs w:val="24"/>
        </w:rPr>
      </w:pPr>
    </w:p>
    <w:p w14:paraId="6A9AC096" w14:textId="77777777" w:rsidR="00CA3F34" w:rsidRPr="00FA1DDD" w:rsidRDefault="00CA3F34" w:rsidP="00CA3F34">
      <w:pPr>
        <w:ind w:left="426"/>
        <w:rPr>
          <w:rFonts w:cs="Arial"/>
        </w:rPr>
      </w:pPr>
      <w:r w:rsidRPr="00FA1DDD">
        <w:rPr>
          <w:rFonts w:cs="Arial"/>
          <w:b/>
          <w:bCs/>
          <w:u w:val="single"/>
        </w:rPr>
        <w:t>Micro</w:t>
      </w:r>
      <w:r>
        <w:rPr>
          <w:rFonts w:cs="Arial"/>
          <w:b/>
          <w:bCs/>
          <w:u w:val="single"/>
        </w:rPr>
        <w:t xml:space="preserve"> </w:t>
      </w:r>
      <w:r w:rsidRPr="00FA1DDD">
        <w:rPr>
          <w:rFonts w:cs="Arial"/>
          <w:b/>
          <w:bCs/>
          <w:u w:val="single"/>
        </w:rPr>
        <w:t>entreprise</w:t>
      </w:r>
    </w:p>
    <w:p w14:paraId="4DDB330D" w14:textId="77777777" w:rsidR="00CA3F34" w:rsidRPr="00FA1DDD" w:rsidRDefault="00CA3F34" w:rsidP="00CA3F34">
      <w:pPr>
        <w:ind w:left="426"/>
        <w:rPr>
          <w:rFonts w:cs="Arial"/>
        </w:rPr>
      </w:pPr>
      <w:r w:rsidRPr="00FA1DDD">
        <w:rPr>
          <w:rFonts w:cs="Arial"/>
          <w:lang w:val="fr-FR"/>
        </w:rPr>
        <w:t>Effectifs: &lt; 10 personnes</w:t>
      </w:r>
    </w:p>
    <w:p w14:paraId="6D425D86" w14:textId="77777777" w:rsidR="00CA3F34" w:rsidRPr="00FA1DDD" w:rsidRDefault="00CA3F34" w:rsidP="00CA3F34">
      <w:pPr>
        <w:ind w:left="426"/>
        <w:rPr>
          <w:rFonts w:cs="Arial"/>
        </w:rPr>
      </w:pPr>
      <w:r w:rsidRPr="00FA1DDD">
        <w:rPr>
          <w:rFonts w:cs="Arial"/>
          <w:lang w:val="fr-FR"/>
        </w:rPr>
        <w:t>CA: ≤ 2 millions € ou bilan: ≤ 2 millions €.</w:t>
      </w:r>
    </w:p>
    <w:p w14:paraId="260ADBC9" w14:textId="77777777" w:rsidR="00CA3F34" w:rsidRPr="00FA1DDD" w:rsidRDefault="00CA3F34" w:rsidP="00CA3F34">
      <w:pPr>
        <w:ind w:left="426"/>
        <w:rPr>
          <w:rFonts w:cs="Arial"/>
        </w:rPr>
      </w:pPr>
      <w:r w:rsidRPr="00FA1DDD">
        <w:rPr>
          <w:rFonts w:cs="Arial"/>
          <w:lang w:val="fr-FR"/>
        </w:rPr>
        <w:t> </w:t>
      </w:r>
    </w:p>
    <w:p w14:paraId="099E7C79" w14:textId="77777777" w:rsidR="00CA3F34" w:rsidRPr="00FA1DDD" w:rsidRDefault="00CA3F34" w:rsidP="00CA3F34">
      <w:pPr>
        <w:ind w:left="426"/>
        <w:rPr>
          <w:rFonts w:cs="Arial"/>
        </w:rPr>
      </w:pPr>
      <w:r w:rsidRPr="00FA1DDD">
        <w:rPr>
          <w:rFonts w:cs="Arial"/>
          <w:b/>
          <w:bCs/>
          <w:u w:val="single"/>
        </w:rPr>
        <w:t>Petite entreprise</w:t>
      </w:r>
    </w:p>
    <w:p w14:paraId="2019E841" w14:textId="77777777" w:rsidR="00CA3F34" w:rsidRPr="00FA1DDD" w:rsidRDefault="00CA3F34" w:rsidP="00CA3F34">
      <w:pPr>
        <w:ind w:left="426"/>
        <w:rPr>
          <w:rFonts w:cs="Arial"/>
        </w:rPr>
      </w:pPr>
      <w:r w:rsidRPr="00FA1DDD">
        <w:rPr>
          <w:rFonts w:cs="Arial"/>
          <w:lang w:val="fr-FR"/>
        </w:rPr>
        <w:t>Effectifs: &lt; 50 personnes</w:t>
      </w:r>
    </w:p>
    <w:p w14:paraId="1CEFC53B" w14:textId="77777777" w:rsidR="00CA3F34" w:rsidRPr="00FA1DDD" w:rsidRDefault="00CA3F34" w:rsidP="00CA3F34">
      <w:pPr>
        <w:ind w:left="426"/>
        <w:rPr>
          <w:rFonts w:cs="Arial"/>
        </w:rPr>
      </w:pPr>
      <w:r w:rsidRPr="00FA1DDD">
        <w:rPr>
          <w:rFonts w:cs="Arial"/>
          <w:lang w:val="fr-FR"/>
        </w:rPr>
        <w:t>CA: ≤ 10 millions € ou bilan: ≤ 10 millions €.</w:t>
      </w:r>
    </w:p>
    <w:p w14:paraId="356E2414" w14:textId="77777777" w:rsidR="00CA3F34" w:rsidRPr="00FA1DDD" w:rsidRDefault="00CA3F34" w:rsidP="00CA3F34">
      <w:pPr>
        <w:ind w:left="426"/>
        <w:rPr>
          <w:rFonts w:cs="Arial"/>
        </w:rPr>
      </w:pPr>
      <w:r w:rsidRPr="00FA1DDD">
        <w:rPr>
          <w:rFonts w:cs="Arial"/>
        </w:rPr>
        <w:t> </w:t>
      </w:r>
    </w:p>
    <w:p w14:paraId="5D6ADD38" w14:textId="77777777" w:rsidR="00CA3F34" w:rsidRPr="00FA1DDD" w:rsidRDefault="00CA3F34" w:rsidP="00CA3F34">
      <w:pPr>
        <w:ind w:left="426"/>
        <w:rPr>
          <w:rFonts w:cs="Arial"/>
        </w:rPr>
      </w:pPr>
      <w:r w:rsidRPr="00FA1DDD">
        <w:rPr>
          <w:rFonts w:cs="Arial"/>
          <w:b/>
          <w:bCs/>
          <w:u w:val="single"/>
          <w:lang w:val="fr-FR"/>
        </w:rPr>
        <w:t>Entreprise moyenne</w:t>
      </w:r>
    </w:p>
    <w:p w14:paraId="67B591E5" w14:textId="77777777" w:rsidR="00CA3F34" w:rsidRPr="00FA1DDD" w:rsidRDefault="00CA3F34" w:rsidP="00CA3F34">
      <w:pPr>
        <w:ind w:left="426"/>
        <w:rPr>
          <w:rFonts w:cs="Arial"/>
        </w:rPr>
      </w:pPr>
      <w:r w:rsidRPr="00FA1DDD">
        <w:rPr>
          <w:rFonts w:cs="Arial"/>
          <w:lang w:val="fr-FR"/>
        </w:rPr>
        <w:t>Effectifs: &lt; 250 personnes</w:t>
      </w:r>
    </w:p>
    <w:p w14:paraId="3BAAF541" w14:textId="77777777" w:rsidR="00CA3F34" w:rsidRDefault="00CA3F34" w:rsidP="00CA3F34">
      <w:pPr>
        <w:ind w:left="426"/>
        <w:rPr>
          <w:rFonts w:cs="Arial"/>
          <w:lang w:val="fr-FR"/>
        </w:rPr>
      </w:pPr>
      <w:r w:rsidRPr="00FA1DDD">
        <w:rPr>
          <w:rFonts w:cs="Arial"/>
          <w:lang w:val="fr-FR"/>
        </w:rPr>
        <w:t>CA : ≤ 50 millions € ou bilan : ≤ 43 millions €.</w:t>
      </w:r>
    </w:p>
    <w:p w14:paraId="288F8A25" w14:textId="77777777" w:rsidR="00CA3F34" w:rsidRDefault="00CA3F34">
      <w:pPr>
        <w:jc w:val="left"/>
        <w:rPr>
          <w:rFonts w:cs="Arial"/>
          <w:lang w:val="fr-FR"/>
        </w:rPr>
      </w:pPr>
      <w:r>
        <w:rPr>
          <w:rFonts w:cs="Arial"/>
          <w:lang w:val="fr-FR"/>
        </w:rPr>
        <w:br w:type="page"/>
      </w:r>
    </w:p>
    <w:p w14:paraId="25B36484" w14:textId="77777777" w:rsidR="00CA3F34" w:rsidRPr="00FA1DDD" w:rsidRDefault="00CA3F34" w:rsidP="00CA3F34">
      <w:pPr>
        <w:pStyle w:val="Titre2"/>
        <w:rPr>
          <w:rFonts w:eastAsia="Arial Unicode MS"/>
        </w:rPr>
      </w:pPr>
      <w:r w:rsidRPr="00FA1DDD">
        <w:rPr>
          <w:rFonts w:eastAsia="Arial Unicode MS"/>
        </w:rPr>
        <w:lastRenderedPageBreak/>
        <w:t>Secteur d’activités NACE BEL</w:t>
      </w:r>
    </w:p>
    <w:p w14:paraId="6E23E2D5" w14:textId="77777777"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3"/>
        <w:gridCol w:w="6282"/>
      </w:tblGrid>
      <w:tr w:rsidR="00CA3F34" w:rsidRPr="00482D14" w14:paraId="6CD03D35" w14:textId="77777777" w:rsidTr="00710729">
        <w:trPr>
          <w:trHeight w:val="227"/>
        </w:trPr>
        <w:tc>
          <w:tcPr>
            <w:tcW w:w="1391" w:type="pct"/>
            <w:tcMar>
              <w:top w:w="15" w:type="dxa"/>
              <w:left w:w="15" w:type="dxa"/>
              <w:bottom w:w="0" w:type="dxa"/>
              <w:right w:w="15" w:type="dxa"/>
            </w:tcMar>
            <w:vAlign w:val="center"/>
          </w:tcPr>
          <w:p w14:paraId="71C1FF22" w14:textId="77777777" w:rsidR="00CA3F34" w:rsidRPr="00482D14" w:rsidRDefault="00CA3F34" w:rsidP="00710729">
            <w:pPr>
              <w:ind w:left="126"/>
              <w:jc w:val="left"/>
              <w:rPr>
                <w:rFonts w:eastAsia="Arial Unicode MS" w:cs="Arial"/>
                <w:b/>
                <w:sz w:val="24"/>
                <w:szCs w:val="24"/>
              </w:rPr>
            </w:pPr>
            <w:r w:rsidRPr="00482D14">
              <w:rPr>
                <w:rFonts w:eastAsia="Arial Unicode MS" w:cs="Arial"/>
                <w:b/>
                <w:sz w:val="24"/>
                <w:szCs w:val="24"/>
              </w:rPr>
              <w:t>Codes NACE-BEL</w:t>
            </w:r>
          </w:p>
        </w:tc>
        <w:tc>
          <w:tcPr>
            <w:tcW w:w="3609" w:type="pct"/>
            <w:noWrap/>
            <w:tcMar>
              <w:top w:w="15" w:type="dxa"/>
              <w:left w:w="15" w:type="dxa"/>
              <w:bottom w:w="0" w:type="dxa"/>
              <w:right w:w="15" w:type="dxa"/>
            </w:tcMar>
            <w:vAlign w:val="center"/>
          </w:tcPr>
          <w:p w14:paraId="3A65C200" w14:textId="77777777" w:rsidR="00CA3F34" w:rsidRPr="00482D14" w:rsidRDefault="00CA3F34" w:rsidP="00710729">
            <w:pPr>
              <w:pStyle w:val="Lettercontact"/>
              <w:spacing w:line="240" w:lineRule="auto"/>
              <w:ind w:left="126"/>
              <w:jc w:val="left"/>
              <w:rPr>
                <w:rFonts w:eastAsia="Arial Unicode MS" w:cs="Arial"/>
                <w:b/>
                <w:sz w:val="24"/>
                <w:szCs w:val="24"/>
                <w:lang w:val="fr-FR" w:eastAsia="fr-FR"/>
              </w:rPr>
            </w:pPr>
            <w:r w:rsidRPr="00482D14">
              <w:rPr>
                <w:rFonts w:eastAsia="Arial Unicode MS" w:cs="Arial"/>
                <w:b/>
                <w:sz w:val="24"/>
                <w:szCs w:val="24"/>
                <w:lang w:val="fr-FR" w:eastAsia="fr-FR"/>
              </w:rPr>
              <w:t>Secteurs d'activités</w:t>
            </w:r>
          </w:p>
        </w:tc>
      </w:tr>
      <w:tr w:rsidR="00CA3F34" w:rsidRPr="00894AB4" w14:paraId="01ED3991" w14:textId="77777777" w:rsidTr="00710729">
        <w:trPr>
          <w:trHeight w:val="227"/>
        </w:trPr>
        <w:tc>
          <w:tcPr>
            <w:tcW w:w="1391" w:type="pct"/>
            <w:noWrap/>
            <w:tcMar>
              <w:top w:w="15" w:type="dxa"/>
              <w:left w:w="15" w:type="dxa"/>
              <w:bottom w:w="0" w:type="dxa"/>
              <w:right w:w="15" w:type="dxa"/>
            </w:tcMar>
            <w:vAlign w:val="bottom"/>
          </w:tcPr>
          <w:p w14:paraId="0BC917D6" w14:textId="77777777" w:rsidR="00CA3F34" w:rsidRPr="00894AB4" w:rsidRDefault="00CA3F34" w:rsidP="00710729">
            <w:pPr>
              <w:ind w:left="126"/>
              <w:jc w:val="left"/>
              <w:rPr>
                <w:rFonts w:eastAsia="Arial Unicode MS" w:cs="Arial"/>
              </w:rPr>
            </w:pPr>
            <w:r>
              <w:rPr>
                <w:rFonts w:eastAsia="Arial Unicode MS" w:cs="Arial"/>
              </w:rPr>
              <w:t>A (01 à 03)</w:t>
            </w:r>
          </w:p>
        </w:tc>
        <w:tc>
          <w:tcPr>
            <w:tcW w:w="3609" w:type="pct"/>
            <w:noWrap/>
            <w:tcMar>
              <w:top w:w="15" w:type="dxa"/>
              <w:left w:w="15" w:type="dxa"/>
              <w:bottom w:w="0" w:type="dxa"/>
              <w:right w:w="15" w:type="dxa"/>
            </w:tcMar>
            <w:vAlign w:val="bottom"/>
          </w:tcPr>
          <w:p w14:paraId="3CA430B4" w14:textId="77777777" w:rsidR="00CA3F34" w:rsidRPr="00894AB4" w:rsidRDefault="00CA3F34" w:rsidP="00710729">
            <w:pPr>
              <w:ind w:left="126"/>
              <w:jc w:val="left"/>
              <w:rPr>
                <w:rFonts w:eastAsia="Arial Unicode MS" w:cs="Arial"/>
              </w:rPr>
            </w:pPr>
            <w:r>
              <w:rPr>
                <w:rFonts w:eastAsia="Arial Unicode MS" w:cs="Arial"/>
              </w:rPr>
              <w:t>Agriculture, sylviculture et pêche</w:t>
            </w:r>
          </w:p>
        </w:tc>
      </w:tr>
      <w:tr w:rsidR="00CA3F34" w:rsidRPr="00894AB4" w14:paraId="40825097" w14:textId="77777777" w:rsidTr="00710729">
        <w:trPr>
          <w:trHeight w:val="227"/>
        </w:trPr>
        <w:tc>
          <w:tcPr>
            <w:tcW w:w="1391" w:type="pct"/>
            <w:noWrap/>
            <w:tcMar>
              <w:top w:w="15" w:type="dxa"/>
              <w:left w:w="15" w:type="dxa"/>
              <w:bottom w:w="0" w:type="dxa"/>
              <w:right w:w="15" w:type="dxa"/>
            </w:tcMar>
            <w:vAlign w:val="bottom"/>
          </w:tcPr>
          <w:p w14:paraId="04C630CB" w14:textId="77777777" w:rsidR="00CA3F34" w:rsidRPr="00894AB4" w:rsidRDefault="00CA3F34" w:rsidP="00710729">
            <w:pPr>
              <w:ind w:left="126"/>
              <w:jc w:val="left"/>
              <w:rPr>
                <w:rFonts w:eastAsia="Arial Unicode MS" w:cs="Arial"/>
              </w:rPr>
            </w:pPr>
            <w:r>
              <w:rPr>
                <w:rFonts w:eastAsia="Arial Unicode MS" w:cs="Arial"/>
              </w:rPr>
              <w:t>B (05 à 09)</w:t>
            </w:r>
          </w:p>
        </w:tc>
        <w:tc>
          <w:tcPr>
            <w:tcW w:w="3609" w:type="pct"/>
            <w:noWrap/>
            <w:tcMar>
              <w:top w:w="15" w:type="dxa"/>
              <w:left w:w="15" w:type="dxa"/>
              <w:bottom w:w="0" w:type="dxa"/>
              <w:right w:w="15" w:type="dxa"/>
            </w:tcMar>
            <w:vAlign w:val="bottom"/>
          </w:tcPr>
          <w:p w14:paraId="424A894E" w14:textId="77777777" w:rsidR="00CA3F34" w:rsidRPr="00894AB4" w:rsidRDefault="00CA3F34" w:rsidP="00710729">
            <w:pPr>
              <w:ind w:left="126"/>
              <w:jc w:val="left"/>
              <w:rPr>
                <w:rFonts w:eastAsia="Arial Unicode MS" w:cs="Arial"/>
              </w:rPr>
            </w:pPr>
            <w:r>
              <w:rPr>
                <w:rFonts w:eastAsia="Arial Unicode MS" w:cs="Arial"/>
              </w:rPr>
              <w:t>Industries extractives</w:t>
            </w:r>
          </w:p>
        </w:tc>
      </w:tr>
      <w:tr w:rsidR="00CA3F34" w:rsidRPr="00894AB4" w14:paraId="0990F19A" w14:textId="77777777" w:rsidTr="00710729">
        <w:trPr>
          <w:trHeight w:val="227"/>
        </w:trPr>
        <w:tc>
          <w:tcPr>
            <w:tcW w:w="1391" w:type="pct"/>
            <w:noWrap/>
            <w:tcMar>
              <w:top w:w="15" w:type="dxa"/>
              <w:left w:w="15" w:type="dxa"/>
              <w:bottom w:w="0" w:type="dxa"/>
              <w:right w:w="15" w:type="dxa"/>
            </w:tcMar>
            <w:vAlign w:val="bottom"/>
          </w:tcPr>
          <w:p w14:paraId="625A848C" w14:textId="77777777" w:rsidR="00CA3F34" w:rsidRPr="00894AB4" w:rsidRDefault="00CA3F34" w:rsidP="00710729">
            <w:pPr>
              <w:ind w:left="126"/>
              <w:jc w:val="left"/>
              <w:rPr>
                <w:rFonts w:eastAsia="Arial Unicode MS" w:cs="Arial"/>
              </w:rPr>
            </w:pPr>
            <w:r w:rsidRPr="00894AB4">
              <w:rPr>
                <w:rFonts w:eastAsia="Arial Unicode MS" w:cs="Arial"/>
              </w:rPr>
              <w:t>C</w:t>
            </w:r>
            <w:r>
              <w:rPr>
                <w:rFonts w:eastAsia="Arial Unicode MS" w:cs="Arial"/>
              </w:rPr>
              <w:t xml:space="preserve"> (10 à 33)</w:t>
            </w:r>
          </w:p>
        </w:tc>
        <w:tc>
          <w:tcPr>
            <w:tcW w:w="3609" w:type="pct"/>
            <w:noWrap/>
            <w:tcMar>
              <w:top w:w="15" w:type="dxa"/>
              <w:left w:w="15" w:type="dxa"/>
              <w:bottom w:w="0" w:type="dxa"/>
              <w:right w:w="15" w:type="dxa"/>
            </w:tcMar>
            <w:vAlign w:val="bottom"/>
          </w:tcPr>
          <w:p w14:paraId="459BEAF1" w14:textId="77777777" w:rsidR="00CA3F34" w:rsidRPr="00894AB4" w:rsidRDefault="00CA3F34" w:rsidP="00710729">
            <w:pPr>
              <w:ind w:left="126"/>
              <w:jc w:val="left"/>
              <w:rPr>
                <w:rFonts w:eastAsia="Arial Unicode MS" w:cs="Arial"/>
              </w:rPr>
            </w:pPr>
            <w:r w:rsidRPr="00894AB4">
              <w:rPr>
                <w:rFonts w:eastAsia="Arial Unicode MS" w:cs="Arial"/>
              </w:rPr>
              <w:t>Industrie manufacturière</w:t>
            </w:r>
          </w:p>
        </w:tc>
      </w:tr>
      <w:tr w:rsidR="00CA3F34" w:rsidRPr="00894AB4" w14:paraId="2F43A578" w14:textId="77777777" w:rsidTr="00710729">
        <w:trPr>
          <w:trHeight w:val="225"/>
        </w:trPr>
        <w:tc>
          <w:tcPr>
            <w:tcW w:w="1391" w:type="pct"/>
            <w:noWrap/>
            <w:tcMar>
              <w:top w:w="15" w:type="dxa"/>
              <w:left w:w="15" w:type="dxa"/>
              <w:bottom w:w="0" w:type="dxa"/>
              <w:right w:w="15" w:type="dxa"/>
            </w:tcMar>
            <w:vAlign w:val="bottom"/>
          </w:tcPr>
          <w:p w14:paraId="18915074" w14:textId="77777777" w:rsidR="00CA3F34" w:rsidRPr="00482D14" w:rsidRDefault="00CA3F34" w:rsidP="00710729">
            <w:pPr>
              <w:ind w:left="126"/>
              <w:jc w:val="left"/>
              <w:rPr>
                <w:rFonts w:eastAsia="Arial Unicode MS" w:cs="Arial"/>
              </w:rPr>
            </w:pPr>
            <w:r>
              <w:rPr>
                <w:rFonts w:eastAsia="Arial Unicode MS" w:cs="Arial"/>
              </w:rPr>
              <w:t>D (35)</w:t>
            </w:r>
          </w:p>
        </w:tc>
        <w:tc>
          <w:tcPr>
            <w:tcW w:w="3609" w:type="pct"/>
            <w:noWrap/>
            <w:tcMar>
              <w:top w:w="15" w:type="dxa"/>
              <w:left w:w="15" w:type="dxa"/>
              <w:bottom w:w="0" w:type="dxa"/>
              <w:right w:w="15" w:type="dxa"/>
            </w:tcMar>
            <w:vAlign w:val="bottom"/>
          </w:tcPr>
          <w:p w14:paraId="19C82BC3" w14:textId="77777777" w:rsidR="00CA3F34" w:rsidRPr="00482D14" w:rsidRDefault="00CA3F34" w:rsidP="00710729">
            <w:pPr>
              <w:ind w:left="126"/>
              <w:jc w:val="left"/>
              <w:rPr>
                <w:rFonts w:eastAsia="Arial Unicode MS" w:cs="Arial"/>
              </w:rPr>
            </w:pPr>
            <w:r>
              <w:rPr>
                <w:rFonts w:eastAsia="Arial Unicode MS" w:cs="Arial"/>
              </w:rPr>
              <w:t>Production et distribution d’électricité, gaz, vapeur et air conditionné</w:t>
            </w:r>
          </w:p>
        </w:tc>
      </w:tr>
      <w:tr w:rsidR="00CA3F34" w:rsidRPr="00894AB4" w14:paraId="262292F3" w14:textId="77777777" w:rsidTr="00710729">
        <w:trPr>
          <w:trHeight w:val="225"/>
        </w:trPr>
        <w:tc>
          <w:tcPr>
            <w:tcW w:w="1391" w:type="pct"/>
            <w:noWrap/>
            <w:tcMar>
              <w:top w:w="15" w:type="dxa"/>
              <w:left w:w="15" w:type="dxa"/>
              <w:bottom w:w="0" w:type="dxa"/>
              <w:right w:w="15" w:type="dxa"/>
            </w:tcMar>
            <w:vAlign w:val="bottom"/>
          </w:tcPr>
          <w:p w14:paraId="512FA6F6" w14:textId="77777777" w:rsidR="00CA3F34" w:rsidRPr="00482D14" w:rsidRDefault="00CA3F34" w:rsidP="00710729">
            <w:pPr>
              <w:ind w:left="126"/>
              <w:jc w:val="left"/>
              <w:rPr>
                <w:rFonts w:eastAsia="Arial Unicode MS" w:cs="Arial"/>
              </w:rPr>
            </w:pPr>
            <w:r>
              <w:rPr>
                <w:rFonts w:eastAsia="Arial Unicode MS" w:cs="Arial"/>
              </w:rPr>
              <w:t>E (36 à 39)</w:t>
            </w:r>
          </w:p>
        </w:tc>
        <w:tc>
          <w:tcPr>
            <w:tcW w:w="3609" w:type="pct"/>
            <w:noWrap/>
            <w:tcMar>
              <w:top w:w="15" w:type="dxa"/>
              <w:left w:w="15" w:type="dxa"/>
              <w:bottom w:w="0" w:type="dxa"/>
              <w:right w:w="15" w:type="dxa"/>
            </w:tcMar>
            <w:vAlign w:val="bottom"/>
          </w:tcPr>
          <w:p w14:paraId="2C251851" w14:textId="77777777" w:rsidR="00CA3F34" w:rsidRPr="00482D14" w:rsidRDefault="00CA3F34" w:rsidP="00710729">
            <w:pPr>
              <w:ind w:left="126"/>
              <w:jc w:val="left"/>
              <w:rPr>
                <w:rFonts w:eastAsia="Arial Unicode MS" w:cs="Arial"/>
              </w:rPr>
            </w:pPr>
            <w:r>
              <w:rPr>
                <w:rFonts w:eastAsia="Arial Unicode MS" w:cs="Arial"/>
              </w:rPr>
              <w:t>Production et distribution d’eau, assainissement, gestion des déchets</w:t>
            </w:r>
          </w:p>
        </w:tc>
      </w:tr>
      <w:tr w:rsidR="00CA3F34" w:rsidRPr="00894AB4" w14:paraId="62FC690F" w14:textId="77777777" w:rsidTr="00710729">
        <w:trPr>
          <w:trHeight w:val="225"/>
        </w:trPr>
        <w:tc>
          <w:tcPr>
            <w:tcW w:w="1391" w:type="pct"/>
            <w:noWrap/>
            <w:tcMar>
              <w:top w:w="15" w:type="dxa"/>
              <w:left w:w="15" w:type="dxa"/>
              <w:bottom w:w="0" w:type="dxa"/>
              <w:right w:w="15" w:type="dxa"/>
            </w:tcMar>
            <w:vAlign w:val="bottom"/>
          </w:tcPr>
          <w:p w14:paraId="176C3E9C" w14:textId="77777777" w:rsidR="00CA3F34" w:rsidRPr="00482D14" w:rsidRDefault="00CA3F34" w:rsidP="00710729">
            <w:pPr>
              <w:ind w:left="126"/>
              <w:jc w:val="left"/>
              <w:rPr>
                <w:rFonts w:eastAsia="Arial Unicode MS" w:cs="Arial"/>
              </w:rPr>
            </w:pPr>
            <w:r w:rsidRPr="00482D14">
              <w:rPr>
                <w:rFonts w:eastAsia="Arial Unicode MS" w:cs="Arial"/>
              </w:rPr>
              <w:t>F</w:t>
            </w:r>
            <w:r>
              <w:rPr>
                <w:rFonts w:eastAsia="Arial Unicode MS" w:cs="Arial"/>
              </w:rPr>
              <w:t xml:space="preserve"> (41 à 43)</w:t>
            </w:r>
          </w:p>
        </w:tc>
        <w:tc>
          <w:tcPr>
            <w:tcW w:w="3609" w:type="pct"/>
            <w:noWrap/>
            <w:tcMar>
              <w:top w:w="15" w:type="dxa"/>
              <w:left w:w="15" w:type="dxa"/>
              <w:bottom w:w="0" w:type="dxa"/>
              <w:right w:w="15" w:type="dxa"/>
            </w:tcMar>
            <w:vAlign w:val="bottom"/>
          </w:tcPr>
          <w:p w14:paraId="2EAAA158" w14:textId="77777777" w:rsidR="00CA3F34" w:rsidRPr="00482D14" w:rsidRDefault="00CA3F34" w:rsidP="00710729">
            <w:pPr>
              <w:ind w:left="126"/>
              <w:jc w:val="left"/>
              <w:rPr>
                <w:rFonts w:eastAsia="Arial Unicode MS" w:cs="Arial"/>
              </w:rPr>
            </w:pPr>
            <w:r w:rsidRPr="00482D14">
              <w:rPr>
                <w:rFonts w:eastAsia="Arial Unicode MS" w:cs="Arial"/>
              </w:rPr>
              <w:t>Construction</w:t>
            </w:r>
          </w:p>
        </w:tc>
      </w:tr>
      <w:tr w:rsidR="00CA3F34" w:rsidRPr="00894AB4" w14:paraId="41B23525" w14:textId="77777777" w:rsidTr="00710729">
        <w:trPr>
          <w:trHeight w:val="225"/>
        </w:trPr>
        <w:tc>
          <w:tcPr>
            <w:tcW w:w="1391" w:type="pct"/>
            <w:noWrap/>
            <w:tcMar>
              <w:top w:w="15" w:type="dxa"/>
              <w:left w:w="15" w:type="dxa"/>
              <w:bottom w:w="0" w:type="dxa"/>
              <w:right w:w="15" w:type="dxa"/>
            </w:tcMar>
            <w:vAlign w:val="bottom"/>
          </w:tcPr>
          <w:p w14:paraId="08575838" w14:textId="77777777" w:rsidR="00CA3F34" w:rsidRPr="00482D14" w:rsidRDefault="00CA3F34" w:rsidP="00710729">
            <w:pPr>
              <w:ind w:left="126"/>
              <w:jc w:val="left"/>
              <w:rPr>
                <w:rFonts w:eastAsia="Arial Unicode MS" w:cs="Arial"/>
              </w:rPr>
            </w:pPr>
            <w:r w:rsidRPr="00482D14">
              <w:rPr>
                <w:rFonts w:eastAsia="Arial Unicode MS" w:cs="Arial"/>
              </w:rPr>
              <w:t>G</w:t>
            </w:r>
            <w:r>
              <w:rPr>
                <w:rFonts w:eastAsia="Arial Unicode MS" w:cs="Arial"/>
              </w:rPr>
              <w:t xml:space="preserve"> (45 à 47)</w:t>
            </w:r>
          </w:p>
        </w:tc>
        <w:tc>
          <w:tcPr>
            <w:tcW w:w="3609" w:type="pct"/>
            <w:noWrap/>
            <w:tcMar>
              <w:top w:w="15" w:type="dxa"/>
              <w:left w:w="15" w:type="dxa"/>
              <w:bottom w:w="0" w:type="dxa"/>
              <w:right w:w="15" w:type="dxa"/>
            </w:tcMar>
            <w:vAlign w:val="bottom"/>
          </w:tcPr>
          <w:p w14:paraId="19E001D0" w14:textId="77777777" w:rsidR="00CA3F34" w:rsidRPr="00482D14" w:rsidRDefault="00CA3F34" w:rsidP="00710729">
            <w:pPr>
              <w:ind w:left="126"/>
              <w:jc w:val="left"/>
              <w:rPr>
                <w:rFonts w:eastAsia="Arial Unicode MS" w:cs="Arial"/>
              </w:rPr>
            </w:pPr>
            <w:r w:rsidRPr="00894AB4">
              <w:rPr>
                <w:rFonts w:eastAsia="Arial Unicode MS" w:cs="Arial"/>
              </w:rPr>
              <w:t>Commerce de gros et de détail ; réparation de véhicules</w:t>
            </w:r>
          </w:p>
        </w:tc>
      </w:tr>
      <w:tr w:rsidR="00CA3F34" w:rsidRPr="00894AB4" w14:paraId="22616538" w14:textId="77777777" w:rsidTr="00710729">
        <w:trPr>
          <w:trHeight w:val="225"/>
        </w:trPr>
        <w:tc>
          <w:tcPr>
            <w:tcW w:w="1391" w:type="pct"/>
            <w:noWrap/>
            <w:tcMar>
              <w:top w:w="15" w:type="dxa"/>
              <w:left w:w="15" w:type="dxa"/>
              <w:bottom w:w="0" w:type="dxa"/>
              <w:right w:w="15" w:type="dxa"/>
            </w:tcMar>
            <w:vAlign w:val="bottom"/>
          </w:tcPr>
          <w:p w14:paraId="6CADA933" w14:textId="77777777" w:rsidR="00CA3F34" w:rsidRPr="00482D14" w:rsidRDefault="00CA3F34" w:rsidP="00710729">
            <w:pPr>
              <w:ind w:left="126"/>
              <w:jc w:val="left"/>
              <w:rPr>
                <w:rFonts w:eastAsia="Arial Unicode MS" w:cs="Arial"/>
              </w:rPr>
            </w:pPr>
            <w:r w:rsidRPr="00482D14">
              <w:rPr>
                <w:rFonts w:eastAsia="Arial Unicode MS" w:cs="Arial"/>
              </w:rPr>
              <w:t>H</w:t>
            </w:r>
            <w:r>
              <w:rPr>
                <w:rFonts w:eastAsia="Arial Unicode MS" w:cs="Arial"/>
              </w:rPr>
              <w:t xml:space="preserve"> (49 à 53)</w:t>
            </w:r>
          </w:p>
        </w:tc>
        <w:tc>
          <w:tcPr>
            <w:tcW w:w="3609" w:type="pct"/>
            <w:noWrap/>
            <w:tcMar>
              <w:top w:w="15" w:type="dxa"/>
              <w:left w:w="15" w:type="dxa"/>
              <w:bottom w:w="0" w:type="dxa"/>
              <w:right w:w="15" w:type="dxa"/>
            </w:tcMar>
            <w:vAlign w:val="bottom"/>
          </w:tcPr>
          <w:p w14:paraId="5D4104C8" w14:textId="77777777" w:rsidR="00CA3F34" w:rsidRPr="00894AB4" w:rsidRDefault="00CA3F34" w:rsidP="00710729">
            <w:pPr>
              <w:ind w:left="126"/>
              <w:jc w:val="left"/>
              <w:rPr>
                <w:rFonts w:eastAsia="Arial Unicode MS" w:cs="Arial"/>
              </w:rPr>
            </w:pPr>
            <w:r w:rsidRPr="00894AB4">
              <w:rPr>
                <w:rFonts w:eastAsia="Arial Unicode MS" w:cs="Arial"/>
              </w:rPr>
              <w:t>Transports et entreposage</w:t>
            </w:r>
          </w:p>
        </w:tc>
      </w:tr>
      <w:tr w:rsidR="00CA3F34" w:rsidRPr="00894AB4" w14:paraId="580C4737" w14:textId="77777777" w:rsidTr="00710729">
        <w:trPr>
          <w:trHeight w:val="225"/>
        </w:trPr>
        <w:tc>
          <w:tcPr>
            <w:tcW w:w="1391" w:type="pct"/>
            <w:noWrap/>
            <w:tcMar>
              <w:top w:w="15" w:type="dxa"/>
              <w:left w:w="15" w:type="dxa"/>
              <w:bottom w:w="0" w:type="dxa"/>
              <w:right w:w="15" w:type="dxa"/>
            </w:tcMar>
            <w:vAlign w:val="bottom"/>
          </w:tcPr>
          <w:p w14:paraId="0D74D2CA" w14:textId="77777777" w:rsidR="00CA3F34" w:rsidRPr="00482D14" w:rsidRDefault="00CA3F34" w:rsidP="00710729">
            <w:pPr>
              <w:ind w:left="126"/>
              <w:jc w:val="left"/>
              <w:rPr>
                <w:rFonts w:eastAsia="Arial Unicode MS" w:cs="Arial"/>
              </w:rPr>
            </w:pPr>
            <w:r>
              <w:rPr>
                <w:rFonts w:eastAsia="Arial Unicode MS" w:cs="Arial"/>
              </w:rPr>
              <w:t>I (55 à 56)</w:t>
            </w:r>
          </w:p>
        </w:tc>
        <w:tc>
          <w:tcPr>
            <w:tcW w:w="3609" w:type="pct"/>
            <w:noWrap/>
            <w:tcMar>
              <w:top w:w="15" w:type="dxa"/>
              <w:left w:w="15" w:type="dxa"/>
              <w:bottom w:w="0" w:type="dxa"/>
              <w:right w:w="15" w:type="dxa"/>
            </w:tcMar>
            <w:vAlign w:val="bottom"/>
          </w:tcPr>
          <w:p w14:paraId="55C740C2" w14:textId="77777777" w:rsidR="00CA3F34" w:rsidRPr="00894AB4" w:rsidRDefault="00CA3F34" w:rsidP="00710729">
            <w:pPr>
              <w:ind w:left="126"/>
              <w:jc w:val="left"/>
              <w:rPr>
                <w:rFonts w:eastAsia="Arial Unicode MS" w:cs="Arial"/>
              </w:rPr>
            </w:pPr>
            <w:r>
              <w:rPr>
                <w:rFonts w:eastAsia="Arial Unicode MS" w:cs="Arial"/>
              </w:rPr>
              <w:t>Hébergement et restauration</w:t>
            </w:r>
          </w:p>
        </w:tc>
      </w:tr>
      <w:tr w:rsidR="00CA3F34" w:rsidRPr="00894AB4" w14:paraId="03D0D9FB" w14:textId="77777777" w:rsidTr="00710729">
        <w:trPr>
          <w:trHeight w:val="225"/>
        </w:trPr>
        <w:tc>
          <w:tcPr>
            <w:tcW w:w="1391" w:type="pct"/>
            <w:noWrap/>
            <w:tcMar>
              <w:top w:w="15" w:type="dxa"/>
              <w:left w:w="15" w:type="dxa"/>
              <w:bottom w:w="0" w:type="dxa"/>
              <w:right w:w="15" w:type="dxa"/>
            </w:tcMar>
            <w:vAlign w:val="bottom"/>
          </w:tcPr>
          <w:p w14:paraId="6A14E2AB" w14:textId="77777777" w:rsidR="00CA3F34" w:rsidRPr="00482D14" w:rsidRDefault="00CA3F34" w:rsidP="00710729">
            <w:pPr>
              <w:ind w:left="126"/>
              <w:jc w:val="left"/>
              <w:rPr>
                <w:rFonts w:eastAsia="Arial Unicode MS" w:cs="Arial"/>
              </w:rPr>
            </w:pPr>
            <w:r w:rsidRPr="00482D14">
              <w:rPr>
                <w:rFonts w:eastAsia="Arial Unicode MS" w:cs="Arial"/>
              </w:rPr>
              <w:t>J</w:t>
            </w:r>
            <w:r>
              <w:rPr>
                <w:rFonts w:eastAsia="Arial Unicode MS" w:cs="Arial"/>
              </w:rPr>
              <w:t xml:space="preserve"> (58 à 63)</w:t>
            </w:r>
          </w:p>
        </w:tc>
        <w:tc>
          <w:tcPr>
            <w:tcW w:w="3609" w:type="pct"/>
            <w:noWrap/>
            <w:tcMar>
              <w:top w:w="15" w:type="dxa"/>
              <w:left w:w="15" w:type="dxa"/>
              <w:bottom w:w="0" w:type="dxa"/>
              <w:right w:w="15" w:type="dxa"/>
            </w:tcMar>
            <w:vAlign w:val="bottom"/>
          </w:tcPr>
          <w:p w14:paraId="3E48A438" w14:textId="77777777" w:rsidR="00CA3F34" w:rsidRPr="00894AB4" w:rsidRDefault="00CA3F34" w:rsidP="00710729">
            <w:pPr>
              <w:ind w:left="126"/>
              <w:jc w:val="left"/>
              <w:rPr>
                <w:rFonts w:eastAsia="Arial Unicode MS" w:cs="Arial"/>
              </w:rPr>
            </w:pPr>
            <w:r w:rsidRPr="00894AB4">
              <w:rPr>
                <w:rFonts w:eastAsia="Arial Unicode MS" w:cs="Arial"/>
              </w:rPr>
              <w:t>Information et communication</w:t>
            </w:r>
          </w:p>
        </w:tc>
      </w:tr>
      <w:tr w:rsidR="00CA3F34" w:rsidRPr="00894AB4" w14:paraId="5533A3AE" w14:textId="77777777" w:rsidTr="00710729">
        <w:trPr>
          <w:trHeight w:val="225"/>
        </w:trPr>
        <w:tc>
          <w:tcPr>
            <w:tcW w:w="1391" w:type="pct"/>
            <w:noWrap/>
            <w:tcMar>
              <w:top w:w="15" w:type="dxa"/>
              <w:left w:w="15" w:type="dxa"/>
              <w:bottom w:w="0" w:type="dxa"/>
              <w:right w:w="15" w:type="dxa"/>
            </w:tcMar>
            <w:vAlign w:val="bottom"/>
          </w:tcPr>
          <w:p w14:paraId="7E47194B" w14:textId="77777777" w:rsidR="00CA3F34" w:rsidRPr="00894AB4" w:rsidRDefault="00CA3F34" w:rsidP="00710729">
            <w:pPr>
              <w:ind w:left="126"/>
              <w:jc w:val="left"/>
              <w:rPr>
                <w:rFonts w:eastAsia="Arial Unicode MS" w:cs="Arial"/>
              </w:rPr>
            </w:pPr>
            <w:r w:rsidRPr="00894AB4">
              <w:rPr>
                <w:rFonts w:eastAsia="Arial Unicode MS" w:cs="Arial"/>
              </w:rPr>
              <w:t>K</w:t>
            </w:r>
            <w:r>
              <w:rPr>
                <w:rFonts w:eastAsia="Arial Unicode MS" w:cs="Arial"/>
              </w:rPr>
              <w:t xml:space="preserve"> (64 à 66)</w:t>
            </w:r>
          </w:p>
        </w:tc>
        <w:tc>
          <w:tcPr>
            <w:tcW w:w="3609" w:type="pct"/>
            <w:noWrap/>
            <w:tcMar>
              <w:top w:w="15" w:type="dxa"/>
              <w:left w:w="15" w:type="dxa"/>
              <w:bottom w:w="0" w:type="dxa"/>
              <w:right w:w="15" w:type="dxa"/>
            </w:tcMar>
            <w:vAlign w:val="bottom"/>
          </w:tcPr>
          <w:p w14:paraId="08A24B69" w14:textId="77777777" w:rsidR="00CA3F34" w:rsidRPr="00894AB4" w:rsidRDefault="00CA3F34" w:rsidP="00710729">
            <w:pPr>
              <w:ind w:left="126"/>
              <w:jc w:val="left"/>
              <w:rPr>
                <w:rFonts w:eastAsia="Arial Unicode MS" w:cs="Arial"/>
              </w:rPr>
            </w:pPr>
            <w:r w:rsidRPr="00894AB4">
              <w:rPr>
                <w:rFonts w:eastAsia="Arial Unicode MS" w:cs="Arial"/>
              </w:rPr>
              <w:t>Activités financières et d’assurance</w:t>
            </w:r>
          </w:p>
        </w:tc>
      </w:tr>
      <w:tr w:rsidR="00CA3F34" w:rsidRPr="00894AB4" w14:paraId="60231F1A" w14:textId="77777777" w:rsidTr="00710729">
        <w:trPr>
          <w:trHeight w:val="225"/>
        </w:trPr>
        <w:tc>
          <w:tcPr>
            <w:tcW w:w="1391" w:type="pct"/>
            <w:noWrap/>
            <w:tcMar>
              <w:top w:w="15" w:type="dxa"/>
              <w:left w:w="15" w:type="dxa"/>
              <w:bottom w:w="0" w:type="dxa"/>
              <w:right w:w="15" w:type="dxa"/>
            </w:tcMar>
            <w:vAlign w:val="bottom"/>
          </w:tcPr>
          <w:p w14:paraId="391B2E51" w14:textId="77777777" w:rsidR="00CA3F34" w:rsidRPr="00894AB4" w:rsidRDefault="00CA3F34" w:rsidP="00710729">
            <w:pPr>
              <w:ind w:left="126"/>
              <w:jc w:val="left"/>
              <w:rPr>
                <w:rFonts w:eastAsia="Arial Unicode MS" w:cs="Arial"/>
              </w:rPr>
            </w:pPr>
            <w:r w:rsidRPr="00894AB4">
              <w:rPr>
                <w:rFonts w:eastAsia="Arial Unicode MS" w:cs="Arial"/>
              </w:rPr>
              <w:t>L</w:t>
            </w:r>
            <w:r>
              <w:rPr>
                <w:rFonts w:eastAsia="Arial Unicode MS" w:cs="Arial"/>
              </w:rPr>
              <w:t xml:space="preserve"> (68)</w:t>
            </w:r>
          </w:p>
        </w:tc>
        <w:tc>
          <w:tcPr>
            <w:tcW w:w="3609" w:type="pct"/>
            <w:noWrap/>
            <w:tcMar>
              <w:top w:w="15" w:type="dxa"/>
              <w:left w:w="15" w:type="dxa"/>
              <w:bottom w:w="0" w:type="dxa"/>
              <w:right w:w="15" w:type="dxa"/>
            </w:tcMar>
            <w:vAlign w:val="bottom"/>
          </w:tcPr>
          <w:p w14:paraId="62CCA6AD" w14:textId="77777777" w:rsidR="00CA3F34" w:rsidRPr="00894AB4" w:rsidRDefault="00CA3F34" w:rsidP="00710729">
            <w:pPr>
              <w:ind w:left="126"/>
              <w:jc w:val="left"/>
              <w:rPr>
                <w:rFonts w:eastAsia="Arial Unicode MS" w:cs="Arial"/>
              </w:rPr>
            </w:pPr>
            <w:r w:rsidRPr="00894AB4">
              <w:rPr>
                <w:rFonts w:eastAsia="Arial Unicode MS" w:cs="Arial"/>
              </w:rPr>
              <w:t>Activités immobilières</w:t>
            </w:r>
          </w:p>
        </w:tc>
      </w:tr>
      <w:tr w:rsidR="00CA3F34" w:rsidRPr="00894AB4" w14:paraId="3685AF39" w14:textId="77777777" w:rsidTr="00710729">
        <w:trPr>
          <w:trHeight w:val="225"/>
        </w:trPr>
        <w:tc>
          <w:tcPr>
            <w:tcW w:w="1391" w:type="pct"/>
            <w:noWrap/>
            <w:tcMar>
              <w:top w:w="15" w:type="dxa"/>
              <w:left w:w="15" w:type="dxa"/>
              <w:bottom w:w="0" w:type="dxa"/>
              <w:right w:w="15" w:type="dxa"/>
            </w:tcMar>
            <w:vAlign w:val="bottom"/>
          </w:tcPr>
          <w:p w14:paraId="3E6D03A2" w14:textId="77777777" w:rsidR="00CA3F34" w:rsidRPr="00894AB4" w:rsidRDefault="00CA3F34" w:rsidP="00710729">
            <w:pPr>
              <w:ind w:left="126"/>
              <w:jc w:val="left"/>
              <w:rPr>
                <w:rFonts w:eastAsia="Arial Unicode MS" w:cs="Arial"/>
              </w:rPr>
            </w:pPr>
            <w:r w:rsidRPr="00894AB4">
              <w:rPr>
                <w:rFonts w:eastAsia="Arial Unicode MS" w:cs="Arial"/>
              </w:rPr>
              <w:t>M</w:t>
            </w:r>
            <w:r>
              <w:rPr>
                <w:rFonts w:eastAsia="Arial Unicode MS" w:cs="Arial"/>
              </w:rPr>
              <w:t xml:space="preserve"> (69 à 75)</w:t>
            </w:r>
          </w:p>
        </w:tc>
        <w:tc>
          <w:tcPr>
            <w:tcW w:w="3609" w:type="pct"/>
            <w:noWrap/>
            <w:tcMar>
              <w:top w:w="15" w:type="dxa"/>
              <w:left w:w="15" w:type="dxa"/>
              <w:bottom w:w="0" w:type="dxa"/>
              <w:right w:w="15" w:type="dxa"/>
            </w:tcMar>
            <w:vAlign w:val="bottom"/>
          </w:tcPr>
          <w:p w14:paraId="773139DC" w14:textId="77777777" w:rsidR="00CA3F34" w:rsidRPr="00894AB4" w:rsidRDefault="00CA3F34" w:rsidP="00710729">
            <w:pPr>
              <w:ind w:left="126"/>
              <w:jc w:val="left"/>
              <w:rPr>
                <w:rFonts w:eastAsia="Arial Unicode MS" w:cs="Arial"/>
              </w:rPr>
            </w:pPr>
            <w:r w:rsidRPr="00894AB4">
              <w:rPr>
                <w:rFonts w:eastAsia="Arial Unicode MS" w:cs="Arial"/>
              </w:rPr>
              <w:t>Activités spécialisées, scientifiques et techniques</w:t>
            </w:r>
          </w:p>
        </w:tc>
      </w:tr>
      <w:tr w:rsidR="00CA3F34" w14:paraId="5209CCCB" w14:textId="77777777" w:rsidTr="00710729">
        <w:trPr>
          <w:trHeight w:val="225"/>
        </w:trPr>
        <w:tc>
          <w:tcPr>
            <w:tcW w:w="1391" w:type="pct"/>
            <w:noWrap/>
            <w:tcMar>
              <w:top w:w="15" w:type="dxa"/>
              <w:left w:w="15" w:type="dxa"/>
              <w:bottom w:w="0" w:type="dxa"/>
              <w:right w:w="15" w:type="dxa"/>
            </w:tcMar>
            <w:vAlign w:val="bottom"/>
          </w:tcPr>
          <w:p w14:paraId="419FF2C0" w14:textId="77777777" w:rsidR="00CA3F34" w:rsidRPr="00894AB4" w:rsidRDefault="00CA3F34" w:rsidP="00710729">
            <w:pPr>
              <w:ind w:left="126"/>
              <w:jc w:val="left"/>
              <w:rPr>
                <w:rFonts w:eastAsia="Arial Unicode MS" w:cs="Arial"/>
              </w:rPr>
            </w:pPr>
            <w:r w:rsidRPr="00894AB4">
              <w:rPr>
                <w:rFonts w:eastAsia="Arial Unicode MS" w:cs="Arial"/>
              </w:rPr>
              <w:t>N</w:t>
            </w:r>
            <w:r>
              <w:rPr>
                <w:rFonts w:eastAsia="Arial Unicode MS" w:cs="Arial"/>
              </w:rPr>
              <w:t xml:space="preserve"> (77 à 82)</w:t>
            </w:r>
          </w:p>
        </w:tc>
        <w:tc>
          <w:tcPr>
            <w:tcW w:w="3609" w:type="pct"/>
            <w:noWrap/>
            <w:tcMar>
              <w:top w:w="15" w:type="dxa"/>
              <w:left w:w="15" w:type="dxa"/>
              <w:bottom w:w="0" w:type="dxa"/>
              <w:right w:w="15" w:type="dxa"/>
            </w:tcMar>
            <w:vAlign w:val="bottom"/>
          </w:tcPr>
          <w:p w14:paraId="30308FCF" w14:textId="77777777" w:rsidR="00CA3F34" w:rsidRPr="00894AB4" w:rsidRDefault="00CA3F34" w:rsidP="00710729">
            <w:pPr>
              <w:ind w:left="126"/>
              <w:jc w:val="left"/>
              <w:rPr>
                <w:rFonts w:eastAsia="Arial Unicode MS" w:cs="Arial"/>
              </w:rPr>
            </w:pPr>
            <w:r w:rsidRPr="00894AB4">
              <w:rPr>
                <w:rFonts w:eastAsia="Arial Unicode MS" w:cs="Arial"/>
              </w:rPr>
              <w:t>Activités de services administratifs et de soutien.</w:t>
            </w:r>
          </w:p>
        </w:tc>
      </w:tr>
      <w:tr w:rsidR="00CA3F34" w14:paraId="4BD6379A" w14:textId="77777777" w:rsidTr="00710729">
        <w:trPr>
          <w:trHeight w:val="225"/>
        </w:trPr>
        <w:tc>
          <w:tcPr>
            <w:tcW w:w="1391" w:type="pct"/>
            <w:noWrap/>
            <w:tcMar>
              <w:top w:w="15" w:type="dxa"/>
              <w:left w:w="15" w:type="dxa"/>
              <w:bottom w:w="0" w:type="dxa"/>
              <w:right w:w="15" w:type="dxa"/>
            </w:tcMar>
            <w:vAlign w:val="bottom"/>
          </w:tcPr>
          <w:p w14:paraId="5D02645B" w14:textId="77777777" w:rsidR="00CA3F34" w:rsidRPr="00894AB4" w:rsidRDefault="00CA3F34" w:rsidP="00710729">
            <w:pPr>
              <w:ind w:left="126"/>
              <w:jc w:val="left"/>
              <w:rPr>
                <w:rFonts w:eastAsia="Arial Unicode MS" w:cs="Arial"/>
              </w:rPr>
            </w:pPr>
            <w:r>
              <w:rPr>
                <w:rFonts w:eastAsia="Arial Unicode MS" w:cs="Arial"/>
              </w:rPr>
              <w:t>O (84)</w:t>
            </w:r>
          </w:p>
        </w:tc>
        <w:tc>
          <w:tcPr>
            <w:tcW w:w="3609" w:type="pct"/>
            <w:noWrap/>
            <w:tcMar>
              <w:top w:w="15" w:type="dxa"/>
              <w:left w:w="15" w:type="dxa"/>
              <w:bottom w:w="0" w:type="dxa"/>
              <w:right w:w="15" w:type="dxa"/>
            </w:tcMar>
            <w:vAlign w:val="bottom"/>
          </w:tcPr>
          <w:p w14:paraId="3FD0E461" w14:textId="77777777" w:rsidR="00CA3F34" w:rsidRPr="00894AB4" w:rsidRDefault="00CA3F34" w:rsidP="00710729">
            <w:pPr>
              <w:ind w:left="126"/>
              <w:jc w:val="left"/>
              <w:rPr>
                <w:rFonts w:eastAsia="Arial Unicode MS" w:cs="Arial"/>
              </w:rPr>
            </w:pPr>
            <w:r>
              <w:rPr>
                <w:rFonts w:eastAsia="Arial Unicode MS" w:cs="Arial"/>
              </w:rPr>
              <w:t>Administration publique et défense, sécurité sociale obligatoire</w:t>
            </w:r>
          </w:p>
        </w:tc>
      </w:tr>
      <w:tr w:rsidR="00CA3F34" w14:paraId="18F6206A" w14:textId="77777777" w:rsidTr="00710729">
        <w:trPr>
          <w:trHeight w:val="225"/>
        </w:trPr>
        <w:tc>
          <w:tcPr>
            <w:tcW w:w="1391" w:type="pct"/>
            <w:noWrap/>
            <w:tcMar>
              <w:top w:w="15" w:type="dxa"/>
              <w:left w:w="15" w:type="dxa"/>
              <w:bottom w:w="0" w:type="dxa"/>
              <w:right w:w="15" w:type="dxa"/>
            </w:tcMar>
            <w:vAlign w:val="bottom"/>
          </w:tcPr>
          <w:p w14:paraId="741FEB08" w14:textId="77777777" w:rsidR="00CA3F34" w:rsidRPr="00894AB4" w:rsidRDefault="00CA3F34" w:rsidP="00710729">
            <w:pPr>
              <w:ind w:left="126"/>
              <w:jc w:val="left"/>
              <w:rPr>
                <w:rFonts w:eastAsia="Arial Unicode MS" w:cs="Arial"/>
              </w:rPr>
            </w:pPr>
            <w:r>
              <w:rPr>
                <w:rFonts w:eastAsia="Arial Unicode MS" w:cs="Arial"/>
              </w:rPr>
              <w:t>P (85)</w:t>
            </w:r>
          </w:p>
        </w:tc>
        <w:tc>
          <w:tcPr>
            <w:tcW w:w="3609" w:type="pct"/>
            <w:noWrap/>
            <w:tcMar>
              <w:top w:w="15" w:type="dxa"/>
              <w:left w:w="15" w:type="dxa"/>
              <w:bottom w:w="0" w:type="dxa"/>
              <w:right w:w="15" w:type="dxa"/>
            </w:tcMar>
            <w:vAlign w:val="bottom"/>
          </w:tcPr>
          <w:p w14:paraId="078874D1" w14:textId="77777777" w:rsidR="00CA3F34" w:rsidRPr="00894AB4" w:rsidRDefault="00CA3F34" w:rsidP="00710729">
            <w:pPr>
              <w:ind w:left="126"/>
              <w:jc w:val="left"/>
              <w:rPr>
                <w:rFonts w:eastAsia="Arial Unicode MS" w:cs="Arial"/>
              </w:rPr>
            </w:pPr>
            <w:r>
              <w:rPr>
                <w:rFonts w:eastAsia="Arial Unicode MS" w:cs="Arial"/>
              </w:rPr>
              <w:t>Enseignement</w:t>
            </w:r>
          </w:p>
        </w:tc>
      </w:tr>
      <w:tr w:rsidR="00CA3F34" w14:paraId="0B73EA49" w14:textId="77777777" w:rsidTr="00710729">
        <w:trPr>
          <w:trHeight w:val="225"/>
        </w:trPr>
        <w:tc>
          <w:tcPr>
            <w:tcW w:w="1391" w:type="pct"/>
            <w:noWrap/>
            <w:tcMar>
              <w:top w:w="15" w:type="dxa"/>
              <w:left w:w="15" w:type="dxa"/>
              <w:bottom w:w="0" w:type="dxa"/>
              <w:right w:w="15" w:type="dxa"/>
            </w:tcMar>
            <w:vAlign w:val="bottom"/>
          </w:tcPr>
          <w:p w14:paraId="3546359C" w14:textId="77777777" w:rsidR="00CA3F34" w:rsidRPr="00894AB4" w:rsidRDefault="00CA3F34" w:rsidP="00710729">
            <w:pPr>
              <w:ind w:left="126"/>
              <w:jc w:val="left"/>
              <w:rPr>
                <w:rFonts w:eastAsia="Arial Unicode MS" w:cs="Arial"/>
              </w:rPr>
            </w:pPr>
            <w:r w:rsidRPr="00894AB4">
              <w:rPr>
                <w:rFonts w:eastAsia="Arial Unicode MS" w:cs="Arial"/>
              </w:rPr>
              <w:t>Q</w:t>
            </w:r>
            <w:r>
              <w:rPr>
                <w:rFonts w:eastAsia="Arial Unicode MS" w:cs="Arial"/>
              </w:rPr>
              <w:t xml:space="preserve"> (86 à 88)</w:t>
            </w:r>
          </w:p>
        </w:tc>
        <w:tc>
          <w:tcPr>
            <w:tcW w:w="3609" w:type="pct"/>
            <w:noWrap/>
            <w:tcMar>
              <w:top w:w="15" w:type="dxa"/>
              <w:left w:w="15" w:type="dxa"/>
              <w:bottom w:w="0" w:type="dxa"/>
              <w:right w:w="15" w:type="dxa"/>
            </w:tcMar>
            <w:vAlign w:val="bottom"/>
          </w:tcPr>
          <w:p w14:paraId="618376DD" w14:textId="77777777" w:rsidR="00CA3F34" w:rsidRPr="00894AB4" w:rsidRDefault="00CA3F34" w:rsidP="00710729">
            <w:pPr>
              <w:ind w:left="126"/>
              <w:jc w:val="left"/>
              <w:rPr>
                <w:rFonts w:eastAsia="Arial Unicode MS" w:cs="Arial"/>
              </w:rPr>
            </w:pPr>
            <w:r>
              <w:rPr>
                <w:rFonts w:eastAsia="Arial Unicode MS" w:cs="Arial"/>
              </w:rPr>
              <w:t>Santé humaine et a</w:t>
            </w:r>
            <w:r w:rsidRPr="00894AB4">
              <w:rPr>
                <w:rFonts w:eastAsia="Arial Unicode MS" w:cs="Arial"/>
              </w:rPr>
              <w:t>ction sociale</w:t>
            </w:r>
          </w:p>
        </w:tc>
      </w:tr>
      <w:tr w:rsidR="00CA3F34" w14:paraId="0249B0EC" w14:textId="77777777" w:rsidTr="00710729">
        <w:trPr>
          <w:trHeight w:val="225"/>
        </w:trPr>
        <w:tc>
          <w:tcPr>
            <w:tcW w:w="1391" w:type="pct"/>
            <w:noWrap/>
            <w:tcMar>
              <w:top w:w="15" w:type="dxa"/>
              <w:left w:w="15" w:type="dxa"/>
              <w:bottom w:w="0" w:type="dxa"/>
              <w:right w:w="15" w:type="dxa"/>
            </w:tcMar>
            <w:vAlign w:val="bottom"/>
          </w:tcPr>
          <w:p w14:paraId="78EF9881" w14:textId="77777777" w:rsidR="00CA3F34" w:rsidRPr="00894AB4" w:rsidRDefault="00CA3F34" w:rsidP="00710729">
            <w:pPr>
              <w:ind w:left="126"/>
              <w:jc w:val="left"/>
              <w:rPr>
                <w:rFonts w:eastAsia="Arial Unicode MS" w:cs="Arial"/>
              </w:rPr>
            </w:pPr>
            <w:r w:rsidRPr="00894AB4">
              <w:rPr>
                <w:rFonts w:eastAsia="Arial Unicode MS" w:cs="Arial"/>
              </w:rPr>
              <w:t>R</w:t>
            </w:r>
            <w:r>
              <w:rPr>
                <w:rFonts w:eastAsia="Arial Unicode MS" w:cs="Arial"/>
              </w:rPr>
              <w:t xml:space="preserve"> (90 à 93)</w:t>
            </w:r>
          </w:p>
        </w:tc>
        <w:tc>
          <w:tcPr>
            <w:tcW w:w="3609" w:type="pct"/>
            <w:noWrap/>
            <w:tcMar>
              <w:top w:w="15" w:type="dxa"/>
              <w:left w:w="15" w:type="dxa"/>
              <w:bottom w:w="0" w:type="dxa"/>
              <w:right w:w="15" w:type="dxa"/>
            </w:tcMar>
            <w:vAlign w:val="bottom"/>
          </w:tcPr>
          <w:p w14:paraId="1ABA9097" w14:textId="77777777" w:rsidR="00CA3F34" w:rsidRPr="00894AB4" w:rsidRDefault="00CA3F34" w:rsidP="00710729">
            <w:pPr>
              <w:ind w:left="126"/>
              <w:jc w:val="left"/>
              <w:rPr>
                <w:rFonts w:eastAsia="Arial Unicode MS" w:cs="Arial"/>
              </w:rPr>
            </w:pPr>
            <w:r w:rsidRPr="00894AB4">
              <w:rPr>
                <w:rFonts w:eastAsia="Arial Unicode MS" w:cs="Arial"/>
              </w:rPr>
              <w:t>Arts, spectacles et activités récréatives</w:t>
            </w:r>
          </w:p>
        </w:tc>
      </w:tr>
      <w:tr w:rsidR="00CA3F34" w14:paraId="02239255" w14:textId="77777777" w:rsidTr="00710729">
        <w:trPr>
          <w:trHeight w:val="225"/>
        </w:trPr>
        <w:tc>
          <w:tcPr>
            <w:tcW w:w="1391" w:type="pct"/>
            <w:noWrap/>
            <w:tcMar>
              <w:top w:w="15" w:type="dxa"/>
              <w:left w:w="15" w:type="dxa"/>
              <w:bottom w:w="0" w:type="dxa"/>
              <w:right w:w="15" w:type="dxa"/>
            </w:tcMar>
            <w:vAlign w:val="bottom"/>
          </w:tcPr>
          <w:p w14:paraId="60150CD3" w14:textId="77777777" w:rsidR="00CA3F34" w:rsidRPr="00894AB4" w:rsidRDefault="00CA3F34" w:rsidP="00710729">
            <w:pPr>
              <w:ind w:left="126"/>
              <w:jc w:val="left"/>
              <w:rPr>
                <w:rFonts w:eastAsia="Arial Unicode MS" w:cs="Arial"/>
              </w:rPr>
            </w:pPr>
            <w:r w:rsidRPr="00894AB4">
              <w:rPr>
                <w:rFonts w:eastAsia="Arial Unicode MS" w:cs="Arial"/>
              </w:rPr>
              <w:t>S</w:t>
            </w:r>
            <w:r>
              <w:rPr>
                <w:rFonts w:eastAsia="Arial Unicode MS" w:cs="Arial"/>
              </w:rPr>
              <w:t xml:space="preserve"> (94 à 96)</w:t>
            </w:r>
          </w:p>
        </w:tc>
        <w:tc>
          <w:tcPr>
            <w:tcW w:w="3609" w:type="pct"/>
            <w:noWrap/>
            <w:tcMar>
              <w:top w:w="15" w:type="dxa"/>
              <w:left w:w="15" w:type="dxa"/>
              <w:bottom w:w="0" w:type="dxa"/>
              <w:right w:w="15" w:type="dxa"/>
            </w:tcMar>
            <w:vAlign w:val="bottom"/>
          </w:tcPr>
          <w:p w14:paraId="2299D23F" w14:textId="77777777" w:rsidR="00CA3F34" w:rsidRPr="00894AB4" w:rsidRDefault="00CA3F34" w:rsidP="00710729">
            <w:pPr>
              <w:ind w:left="126"/>
              <w:jc w:val="left"/>
              <w:rPr>
                <w:rFonts w:eastAsia="Arial Unicode MS" w:cs="Arial"/>
              </w:rPr>
            </w:pPr>
            <w:r w:rsidRPr="00894AB4">
              <w:rPr>
                <w:rFonts w:eastAsia="Arial Unicode MS" w:cs="Arial"/>
              </w:rPr>
              <w:t>Autres activités de service</w:t>
            </w:r>
            <w:r>
              <w:rPr>
                <w:rFonts w:eastAsia="Arial Unicode MS" w:cs="Arial"/>
              </w:rPr>
              <w:t>s</w:t>
            </w:r>
          </w:p>
        </w:tc>
      </w:tr>
      <w:tr w:rsidR="00CA3F34" w14:paraId="10D483C0" w14:textId="77777777" w:rsidTr="00710729">
        <w:trPr>
          <w:trHeight w:val="225"/>
        </w:trPr>
        <w:tc>
          <w:tcPr>
            <w:tcW w:w="1391" w:type="pct"/>
            <w:noWrap/>
            <w:tcMar>
              <w:top w:w="15" w:type="dxa"/>
              <w:left w:w="15" w:type="dxa"/>
              <w:bottom w:w="0" w:type="dxa"/>
              <w:right w:w="15" w:type="dxa"/>
            </w:tcMar>
            <w:vAlign w:val="bottom"/>
          </w:tcPr>
          <w:p w14:paraId="29B17962" w14:textId="77777777" w:rsidR="00CA3F34" w:rsidRPr="00894AB4" w:rsidRDefault="00CA3F34" w:rsidP="00710729">
            <w:pPr>
              <w:ind w:left="126"/>
              <w:jc w:val="left"/>
              <w:rPr>
                <w:rFonts w:eastAsia="Arial Unicode MS" w:cs="Arial"/>
              </w:rPr>
            </w:pPr>
            <w:r>
              <w:rPr>
                <w:rFonts w:eastAsia="Arial Unicode MS" w:cs="Arial"/>
              </w:rPr>
              <w:t>T (97 à 98)</w:t>
            </w:r>
          </w:p>
        </w:tc>
        <w:tc>
          <w:tcPr>
            <w:tcW w:w="3609" w:type="pct"/>
            <w:noWrap/>
            <w:tcMar>
              <w:top w:w="15" w:type="dxa"/>
              <w:left w:w="15" w:type="dxa"/>
              <w:bottom w:w="0" w:type="dxa"/>
              <w:right w:w="15" w:type="dxa"/>
            </w:tcMar>
            <w:vAlign w:val="bottom"/>
          </w:tcPr>
          <w:p w14:paraId="188A686B" w14:textId="77777777" w:rsidR="00CA3F34" w:rsidRPr="00894AB4" w:rsidRDefault="00CA3F34" w:rsidP="00710729">
            <w:pPr>
              <w:ind w:left="126"/>
              <w:jc w:val="left"/>
              <w:rPr>
                <w:rFonts w:eastAsia="Arial Unicode MS" w:cs="Arial"/>
              </w:rPr>
            </w:pPr>
            <w:r>
              <w:rPr>
                <w:rFonts w:eastAsia="Arial Unicode MS" w:cs="Arial"/>
              </w:rPr>
              <w:t>Activités des ménages</w:t>
            </w:r>
          </w:p>
        </w:tc>
      </w:tr>
      <w:tr w:rsidR="00CA3F34" w14:paraId="58B1D7B7" w14:textId="77777777" w:rsidTr="00710729">
        <w:trPr>
          <w:trHeight w:val="225"/>
        </w:trPr>
        <w:tc>
          <w:tcPr>
            <w:tcW w:w="1391" w:type="pct"/>
            <w:noWrap/>
            <w:tcMar>
              <w:top w:w="15" w:type="dxa"/>
              <w:left w:w="15" w:type="dxa"/>
              <w:bottom w:w="0" w:type="dxa"/>
              <w:right w:w="15" w:type="dxa"/>
            </w:tcMar>
            <w:vAlign w:val="bottom"/>
          </w:tcPr>
          <w:p w14:paraId="43CF1D0A" w14:textId="77777777" w:rsidR="00CA3F34" w:rsidRPr="00894AB4" w:rsidRDefault="00CA3F34" w:rsidP="00710729">
            <w:pPr>
              <w:ind w:left="126"/>
              <w:jc w:val="left"/>
              <w:rPr>
                <w:rFonts w:eastAsia="Arial Unicode MS" w:cs="Arial"/>
              </w:rPr>
            </w:pPr>
            <w:r>
              <w:rPr>
                <w:rFonts w:eastAsia="Arial Unicode MS" w:cs="Arial"/>
              </w:rPr>
              <w:t>U (99)</w:t>
            </w:r>
          </w:p>
        </w:tc>
        <w:tc>
          <w:tcPr>
            <w:tcW w:w="3609" w:type="pct"/>
            <w:noWrap/>
            <w:tcMar>
              <w:top w:w="15" w:type="dxa"/>
              <w:left w:w="15" w:type="dxa"/>
              <w:bottom w:w="0" w:type="dxa"/>
              <w:right w:w="15" w:type="dxa"/>
            </w:tcMar>
            <w:vAlign w:val="bottom"/>
          </w:tcPr>
          <w:p w14:paraId="7B99DCA0" w14:textId="77777777" w:rsidR="00CA3F34" w:rsidRPr="00894AB4" w:rsidRDefault="00CA3F34" w:rsidP="00710729">
            <w:pPr>
              <w:ind w:left="126"/>
              <w:jc w:val="left"/>
              <w:rPr>
                <w:rFonts w:eastAsia="Arial Unicode MS" w:cs="Arial"/>
              </w:rPr>
            </w:pPr>
            <w:r>
              <w:rPr>
                <w:rFonts w:eastAsia="Arial Unicode MS" w:cs="Arial"/>
              </w:rPr>
              <w:t xml:space="preserve">Activités des organismes </w:t>
            </w:r>
            <w:proofErr w:type="spellStart"/>
            <w:r>
              <w:rPr>
                <w:rFonts w:eastAsia="Arial Unicode MS" w:cs="Arial"/>
              </w:rPr>
              <w:t>extra-nationaux</w:t>
            </w:r>
            <w:proofErr w:type="spellEnd"/>
          </w:p>
        </w:tc>
      </w:tr>
    </w:tbl>
    <w:p w14:paraId="39AD6F68" w14:textId="77777777" w:rsidR="00091D48" w:rsidRPr="00CA3F34" w:rsidRDefault="00091D48" w:rsidP="00091D48">
      <w:pPr>
        <w:rPr>
          <w:lang w:val="fr-FR"/>
        </w:rPr>
      </w:pPr>
    </w:p>
    <w:sectPr w:rsidR="00091D48" w:rsidRPr="00CA3F34" w:rsidSect="00152828">
      <w:headerReference w:type="default" r:id="rId27"/>
      <w:footerReference w:type="default" r:id="rId28"/>
      <w:headerReference w:type="first" r:id="rId29"/>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4BA9" w14:textId="77777777" w:rsidR="004D11BA" w:rsidRDefault="004D11BA" w:rsidP="00152828">
      <w:pPr>
        <w:spacing w:after="0" w:line="240" w:lineRule="auto"/>
      </w:pPr>
      <w:r>
        <w:separator/>
      </w:r>
    </w:p>
  </w:endnote>
  <w:endnote w:type="continuationSeparator" w:id="0">
    <w:p w14:paraId="53C2E45C" w14:textId="77777777" w:rsidR="004D11BA" w:rsidRDefault="004D11BA"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C89C" w14:textId="77777777" w:rsidR="004D11BA" w:rsidRDefault="004D11BA">
    <w:pPr>
      <w:pStyle w:val="Pieddepage"/>
    </w:pPr>
    <w:r>
      <w:rPr>
        <w:noProof/>
        <w:lang w:eastAsia="fr-BE"/>
      </w:rPr>
      <mc:AlternateContent>
        <mc:Choice Requires="wps">
          <w:drawing>
            <wp:anchor distT="0" distB="0" distL="114300" distR="114300" simplePos="0" relativeHeight="251660288" behindDoc="0" locked="0" layoutInCell="1" allowOverlap="1" wp14:anchorId="46AEBDE0" wp14:editId="38B70920">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E0FF" w14:textId="77777777" w:rsidR="004D11BA" w:rsidRDefault="004D11BA">
                          <w:r>
                            <w:fldChar w:fldCharType="begin"/>
                          </w:r>
                          <w:r>
                            <w:instrText xml:space="preserve"> PAGE  \* Arabic  \* MERGEFORMAT </w:instrText>
                          </w:r>
                          <w:r>
                            <w:fldChar w:fldCharType="separate"/>
                          </w:r>
                          <w:r w:rsidR="002E421B">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EBDE0"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" filled="f" stroked="f">
              <v:textbox>
                <w:txbxContent>
                  <w:p w14:paraId="76C0E0FF" w14:textId="77777777" w:rsidR="004D11BA" w:rsidRDefault="004D11BA">
                    <w:r>
                      <w:fldChar w:fldCharType="begin"/>
                    </w:r>
                    <w:r>
                      <w:instrText xml:space="preserve"> PAGE  \* Arabic  \* MERGEFORMAT </w:instrText>
                    </w:r>
                    <w:r>
                      <w:fldChar w:fldCharType="separate"/>
                    </w:r>
                    <w:r w:rsidR="002E421B">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0E5E6CA" wp14:editId="6ED3CF3D">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56B0297A" w14:textId="77777777" w:rsidR="004D11BA" w:rsidRPr="00F3402A" w:rsidRDefault="004D11BA" w:rsidP="00F3402A">
                              <w:pPr>
                                <w:pStyle w:val="Sansinterligne"/>
                                <w:rPr>
                                  <w:rFonts w:eastAsiaTheme="majorEastAsia" w:cs="Arial"/>
                                  <w:szCs w:val="20"/>
                                  <w:lang w:val="fr-BE"/>
                                </w:rPr>
                              </w:pPr>
                              <w:r>
                                <w:rPr>
                                  <w:rFonts w:eastAsiaTheme="majorEastAsia" w:cs="Arial"/>
                                  <w:szCs w:val="20"/>
                                  <w:lang w:val="fr-BE"/>
                                </w:rPr>
                                <w:t>Rapport d’activité de la Direction des Aides aux Entreprises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E6CA"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56B0297A" w14:textId="77777777" w:rsidR="004D11BA" w:rsidRPr="00F3402A" w:rsidRDefault="004D11BA" w:rsidP="00F3402A">
                        <w:pPr>
                          <w:pStyle w:val="Sansinterligne"/>
                          <w:rPr>
                            <w:rFonts w:eastAsiaTheme="majorEastAsia" w:cs="Arial"/>
                            <w:szCs w:val="20"/>
                            <w:lang w:val="fr-BE"/>
                          </w:rPr>
                        </w:pPr>
                        <w:r>
                          <w:rPr>
                            <w:rFonts w:eastAsiaTheme="majorEastAsia" w:cs="Arial"/>
                            <w:szCs w:val="20"/>
                            <w:lang w:val="fr-BE"/>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9504" behindDoc="1" locked="0" layoutInCell="1" allowOverlap="1" wp14:anchorId="4EC23AAA" wp14:editId="0C516DFE">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05CC" w14:textId="77777777" w:rsidR="004D11BA" w:rsidRDefault="004D11BA" w:rsidP="00152828">
      <w:pPr>
        <w:spacing w:after="0" w:line="240" w:lineRule="auto"/>
      </w:pPr>
      <w:r>
        <w:separator/>
      </w:r>
    </w:p>
  </w:footnote>
  <w:footnote w:type="continuationSeparator" w:id="0">
    <w:p w14:paraId="5A2B9913" w14:textId="77777777" w:rsidR="004D11BA" w:rsidRDefault="004D11BA" w:rsidP="00152828">
      <w:pPr>
        <w:spacing w:after="0" w:line="240" w:lineRule="auto"/>
      </w:pPr>
      <w:r>
        <w:continuationSeparator/>
      </w:r>
    </w:p>
  </w:footnote>
  <w:footnote w:id="1">
    <w:p w14:paraId="05A1D64D" w14:textId="77777777" w:rsidR="009A174E" w:rsidRDefault="009A174E">
      <w:pPr>
        <w:pStyle w:val="Notedebasdepage"/>
      </w:pPr>
      <w:r>
        <w:rPr>
          <w:rStyle w:val="Appelnotedebasdep"/>
        </w:rPr>
        <w:footnoteRef/>
      </w:r>
      <w:r>
        <w:t xml:space="preserve"> Le taux de refus élevé en investissements s’explique par le fait que les abandons et reports de programmes d’investissement sont comptabilisés parmi les refus.</w:t>
      </w:r>
    </w:p>
  </w:footnote>
  <w:footnote w:id="2">
    <w:p w14:paraId="2CA708F0" w14:textId="77777777" w:rsidR="00A82CBF" w:rsidRDefault="00A82CBF">
      <w:pPr>
        <w:pStyle w:val="Notedebasdepage"/>
      </w:pPr>
      <w:r>
        <w:rPr>
          <w:rStyle w:val="Appelnotedebasdep"/>
        </w:rPr>
        <w:footnoteRef/>
      </w:r>
      <w:r>
        <w:t xml:space="preserve"> Le taux de refus élevé en investissements s’explique par le fait que les abandons et reports de programmes d’investissement sont comptabilisés parmi les refus.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AC47" w14:textId="77777777" w:rsidR="004D11BA" w:rsidRDefault="004D11BA">
    <w:pPr>
      <w:pStyle w:val="En-tte"/>
    </w:pPr>
    <w:r>
      <w:rPr>
        <w:noProof/>
        <w:lang w:eastAsia="fr-BE"/>
      </w:rPr>
      <w:drawing>
        <wp:anchor distT="0" distB="0" distL="114300" distR="114300" simplePos="0" relativeHeight="251668480" behindDoc="1" locked="0" layoutInCell="1" allowOverlap="1" wp14:anchorId="2106073C" wp14:editId="7F504D34">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9377" w14:textId="77777777" w:rsidR="004D11BA" w:rsidRDefault="004D11BA">
    <w:pPr>
      <w:pStyle w:val="En-tte"/>
    </w:pPr>
    <w:r>
      <w:rPr>
        <w:noProof/>
        <w:lang w:eastAsia="fr-BE"/>
      </w:rPr>
      <w:drawing>
        <wp:anchor distT="0" distB="0" distL="114300" distR="114300" simplePos="0" relativeHeight="251667456" behindDoc="1" locked="0" layoutInCell="1" allowOverlap="1" wp14:anchorId="2AF561C5" wp14:editId="22B49AC2">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410F"/>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71C724CC"/>
    <w:multiLevelType w:val="hybridMultilevel"/>
    <w:tmpl w:val="B5004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4F160A"/>
    <w:multiLevelType w:val="hybridMultilevel"/>
    <w:tmpl w:val="29F26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367A93"/>
    <w:multiLevelType w:val="hybridMultilevel"/>
    <w:tmpl w:val="40707B32"/>
    <w:lvl w:ilvl="0" w:tplc="73805A50">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DB9738A"/>
    <w:multiLevelType w:val="hybridMultilevel"/>
    <w:tmpl w:val="39527736"/>
    <w:lvl w:ilvl="0" w:tplc="670C9630">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AE3DFF"/>
    <w:multiLevelType w:val="hybridMultilevel"/>
    <w:tmpl w:val="AE2AF226"/>
    <w:lvl w:ilvl="0" w:tplc="4BA0D04C">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396A"/>
    <w:rsid w:val="00006599"/>
    <w:rsid w:val="000077C3"/>
    <w:rsid w:val="00021740"/>
    <w:rsid w:val="00035A38"/>
    <w:rsid w:val="00066099"/>
    <w:rsid w:val="000671F0"/>
    <w:rsid w:val="00076D0B"/>
    <w:rsid w:val="00090CEC"/>
    <w:rsid w:val="00091D48"/>
    <w:rsid w:val="00096C7E"/>
    <w:rsid w:val="000A366E"/>
    <w:rsid w:val="000D1FA2"/>
    <w:rsid w:val="000E2270"/>
    <w:rsid w:val="00107150"/>
    <w:rsid w:val="00113BDC"/>
    <w:rsid w:val="0013687D"/>
    <w:rsid w:val="001516DF"/>
    <w:rsid w:val="00152828"/>
    <w:rsid w:val="0019242A"/>
    <w:rsid w:val="001937A3"/>
    <w:rsid w:val="001B3D92"/>
    <w:rsid w:val="001C0433"/>
    <w:rsid w:val="001D2459"/>
    <w:rsid w:val="001D7C43"/>
    <w:rsid w:val="001F20C4"/>
    <w:rsid w:val="001F7532"/>
    <w:rsid w:val="002263CB"/>
    <w:rsid w:val="00244247"/>
    <w:rsid w:val="002818CB"/>
    <w:rsid w:val="002C7F60"/>
    <w:rsid w:val="002E421B"/>
    <w:rsid w:val="002E5136"/>
    <w:rsid w:val="002F4801"/>
    <w:rsid w:val="002F4D9A"/>
    <w:rsid w:val="00325EDD"/>
    <w:rsid w:val="003302DA"/>
    <w:rsid w:val="003767B0"/>
    <w:rsid w:val="00395CD7"/>
    <w:rsid w:val="003A1593"/>
    <w:rsid w:val="003C07C5"/>
    <w:rsid w:val="003C199A"/>
    <w:rsid w:val="003C48D1"/>
    <w:rsid w:val="003E1B8C"/>
    <w:rsid w:val="0040695B"/>
    <w:rsid w:val="004334F9"/>
    <w:rsid w:val="00435035"/>
    <w:rsid w:val="00491FCD"/>
    <w:rsid w:val="004C14D5"/>
    <w:rsid w:val="004C3AF1"/>
    <w:rsid w:val="004D11BA"/>
    <w:rsid w:val="004D2AE8"/>
    <w:rsid w:val="00505072"/>
    <w:rsid w:val="00507105"/>
    <w:rsid w:val="00527F43"/>
    <w:rsid w:val="00567D64"/>
    <w:rsid w:val="005758FD"/>
    <w:rsid w:val="005772DF"/>
    <w:rsid w:val="00577779"/>
    <w:rsid w:val="005971FF"/>
    <w:rsid w:val="005A2FC3"/>
    <w:rsid w:val="005A30D8"/>
    <w:rsid w:val="005C0B8D"/>
    <w:rsid w:val="005D7F0E"/>
    <w:rsid w:val="005F70DE"/>
    <w:rsid w:val="00600581"/>
    <w:rsid w:val="00616807"/>
    <w:rsid w:val="006227C3"/>
    <w:rsid w:val="00640BC5"/>
    <w:rsid w:val="00655979"/>
    <w:rsid w:val="00663588"/>
    <w:rsid w:val="006716C2"/>
    <w:rsid w:val="00671952"/>
    <w:rsid w:val="0068055C"/>
    <w:rsid w:val="006A36B5"/>
    <w:rsid w:val="006C4B48"/>
    <w:rsid w:val="006D57E1"/>
    <w:rsid w:val="006F5774"/>
    <w:rsid w:val="00710729"/>
    <w:rsid w:val="007152A3"/>
    <w:rsid w:val="0071794E"/>
    <w:rsid w:val="00723B41"/>
    <w:rsid w:val="00735183"/>
    <w:rsid w:val="00750A1B"/>
    <w:rsid w:val="00751D35"/>
    <w:rsid w:val="00757196"/>
    <w:rsid w:val="0075776B"/>
    <w:rsid w:val="007771D4"/>
    <w:rsid w:val="0078090E"/>
    <w:rsid w:val="007B2574"/>
    <w:rsid w:val="007D24DA"/>
    <w:rsid w:val="007D5E58"/>
    <w:rsid w:val="007E44F4"/>
    <w:rsid w:val="007F7DD5"/>
    <w:rsid w:val="00806BDD"/>
    <w:rsid w:val="0081616A"/>
    <w:rsid w:val="00837F49"/>
    <w:rsid w:val="00854397"/>
    <w:rsid w:val="00877CE2"/>
    <w:rsid w:val="008E57DD"/>
    <w:rsid w:val="008F28FF"/>
    <w:rsid w:val="008F73DB"/>
    <w:rsid w:val="008F7753"/>
    <w:rsid w:val="00901391"/>
    <w:rsid w:val="009078BC"/>
    <w:rsid w:val="00916065"/>
    <w:rsid w:val="0093390D"/>
    <w:rsid w:val="00993DE9"/>
    <w:rsid w:val="009A174E"/>
    <w:rsid w:val="009B26F0"/>
    <w:rsid w:val="009B3ACF"/>
    <w:rsid w:val="009D0D8A"/>
    <w:rsid w:val="00A0171E"/>
    <w:rsid w:val="00A062B9"/>
    <w:rsid w:val="00A15FA7"/>
    <w:rsid w:val="00A438C3"/>
    <w:rsid w:val="00A44818"/>
    <w:rsid w:val="00A503C4"/>
    <w:rsid w:val="00A543EB"/>
    <w:rsid w:val="00A614DE"/>
    <w:rsid w:val="00A629C5"/>
    <w:rsid w:val="00A63DCA"/>
    <w:rsid w:val="00A80566"/>
    <w:rsid w:val="00A82CBF"/>
    <w:rsid w:val="00A9455A"/>
    <w:rsid w:val="00A96267"/>
    <w:rsid w:val="00AD11D4"/>
    <w:rsid w:val="00B313B6"/>
    <w:rsid w:val="00B57044"/>
    <w:rsid w:val="00B64FEE"/>
    <w:rsid w:val="00B71186"/>
    <w:rsid w:val="00BA3928"/>
    <w:rsid w:val="00BC6585"/>
    <w:rsid w:val="00BD2ED1"/>
    <w:rsid w:val="00BE4CAC"/>
    <w:rsid w:val="00BE63F6"/>
    <w:rsid w:val="00BF1458"/>
    <w:rsid w:val="00C07CFF"/>
    <w:rsid w:val="00C07D9E"/>
    <w:rsid w:val="00C37B0B"/>
    <w:rsid w:val="00C37D31"/>
    <w:rsid w:val="00C57BCF"/>
    <w:rsid w:val="00C6661C"/>
    <w:rsid w:val="00CA3F34"/>
    <w:rsid w:val="00CD5C60"/>
    <w:rsid w:val="00CE0D31"/>
    <w:rsid w:val="00CE5DE8"/>
    <w:rsid w:val="00D31405"/>
    <w:rsid w:val="00D41268"/>
    <w:rsid w:val="00D50424"/>
    <w:rsid w:val="00D74EC3"/>
    <w:rsid w:val="00D937AC"/>
    <w:rsid w:val="00DD46EA"/>
    <w:rsid w:val="00DE0037"/>
    <w:rsid w:val="00DE3215"/>
    <w:rsid w:val="00DE58A6"/>
    <w:rsid w:val="00E010C6"/>
    <w:rsid w:val="00E02CC3"/>
    <w:rsid w:val="00E05418"/>
    <w:rsid w:val="00E43BA3"/>
    <w:rsid w:val="00E45FC2"/>
    <w:rsid w:val="00E51F4C"/>
    <w:rsid w:val="00E650E8"/>
    <w:rsid w:val="00EA2E5A"/>
    <w:rsid w:val="00EB577C"/>
    <w:rsid w:val="00EC23CD"/>
    <w:rsid w:val="00EF7A03"/>
    <w:rsid w:val="00EF7CF9"/>
    <w:rsid w:val="00F171D7"/>
    <w:rsid w:val="00F208E9"/>
    <w:rsid w:val="00F3402A"/>
    <w:rsid w:val="00F44919"/>
    <w:rsid w:val="00F56AE5"/>
    <w:rsid w:val="00F60368"/>
    <w:rsid w:val="00F878BD"/>
    <w:rsid w:val="00F90B9F"/>
    <w:rsid w:val="00FA3FF1"/>
    <w:rsid w:val="00FD22A6"/>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54CCF"/>
  <w15:docId w15:val="{DF61A01B-BF91-40D2-9D8A-A1C7333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Titre2">
    <w:name w:val="heading 2"/>
    <w:basedOn w:val="Normal"/>
    <w:next w:val="Normal"/>
    <w:link w:val="Titre2C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Titre3">
    <w:name w:val="heading 3"/>
    <w:basedOn w:val="Normal"/>
    <w:next w:val="Normal"/>
    <w:link w:val="Titre3C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Titre4">
    <w:name w:val="heading 4"/>
    <w:basedOn w:val="Normal"/>
    <w:next w:val="Normal"/>
    <w:link w:val="Titre4C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Titre5">
    <w:name w:val="heading 5"/>
    <w:basedOn w:val="Normal"/>
    <w:next w:val="Normal"/>
    <w:link w:val="Titre5C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90D"/>
    <w:rPr>
      <w:rFonts w:ascii="Arial" w:eastAsiaTheme="majorEastAsia" w:hAnsi="Arial" w:cstheme="majorBidi"/>
      <w:b/>
      <w:bCs/>
      <w:color w:val="0A00BE"/>
      <w:sz w:val="28"/>
      <w:szCs w:val="28"/>
    </w:rPr>
  </w:style>
  <w:style w:type="character" w:customStyle="1" w:styleId="Titre2Car">
    <w:name w:val="Titre 2 Car"/>
    <w:basedOn w:val="Policepardfaut"/>
    <w:link w:val="Titre2"/>
    <w:uiPriority w:val="9"/>
    <w:rsid w:val="0093390D"/>
    <w:rPr>
      <w:rFonts w:ascii="Arial" w:eastAsiaTheme="majorEastAsia" w:hAnsi="Arial" w:cstheme="majorBidi"/>
      <w:bCs/>
      <w:color w:val="0A00BE"/>
      <w:sz w:val="26"/>
      <w:szCs w:val="26"/>
    </w:rPr>
  </w:style>
  <w:style w:type="character" w:customStyle="1" w:styleId="Titre3Car">
    <w:name w:val="Titre 3 Car"/>
    <w:basedOn w:val="Policepardfaut"/>
    <w:link w:val="Titre3"/>
    <w:uiPriority w:val="9"/>
    <w:rsid w:val="0093390D"/>
    <w:rPr>
      <w:rFonts w:ascii="Arial" w:eastAsiaTheme="majorEastAsia" w:hAnsi="Arial" w:cstheme="majorBidi"/>
      <w:bCs/>
      <w:color w:val="0A00BE"/>
      <w:sz w:val="20"/>
    </w:rPr>
  </w:style>
  <w:style w:type="character" w:customStyle="1" w:styleId="Titre4Car">
    <w:name w:val="Titre 4 Car"/>
    <w:basedOn w:val="Policepardfaut"/>
    <w:link w:val="Titre4"/>
    <w:uiPriority w:val="9"/>
    <w:rsid w:val="00901391"/>
    <w:rPr>
      <w:rFonts w:ascii="Arial" w:eastAsiaTheme="majorEastAsia" w:hAnsi="Arial" w:cstheme="majorBidi"/>
      <w:bCs/>
      <w:i/>
      <w:iCs/>
      <w:color w:val="0A00BE"/>
      <w:sz w:val="20"/>
      <w:u w:val="single"/>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F60368"/>
    <w:pPr>
      <w:numPr>
        <w:numId w:val="0"/>
      </w:numPr>
      <w:ind w:left="432" w:hanging="432"/>
    </w:pPr>
    <w:rPr>
      <w:sz w:val="32"/>
    </w:rPr>
  </w:style>
  <w:style w:type="character" w:customStyle="1" w:styleId="Sous-titredudocumentCar">
    <w:name w:val="Sous-titre du document Car"/>
    <w:basedOn w:val="Titre1Car"/>
    <w:link w:val="Sous-titredudocument"/>
    <w:rsid w:val="00F60368"/>
    <w:rPr>
      <w:rFonts w:ascii="Arial" w:eastAsiaTheme="majorEastAsia" w:hAnsi="Arial" w:cstheme="majorBidi"/>
      <w:b/>
      <w:bCs/>
      <w:color w:val="0A00BE"/>
      <w:sz w:val="32"/>
      <w:szCs w:val="28"/>
    </w:rPr>
  </w:style>
  <w:style w:type="character" w:customStyle="1" w:styleId="Titre5Car">
    <w:name w:val="Titre 5 Car"/>
    <w:basedOn w:val="Policepardfaut"/>
    <w:link w:val="Titre5"/>
    <w:uiPriority w:val="9"/>
    <w:semiHidden/>
    <w:rsid w:val="0093390D"/>
    <w:rPr>
      <w:rFonts w:asciiTheme="majorHAnsi" w:eastAsiaTheme="majorEastAsia" w:hAnsiTheme="majorHAnsi" w:cstheme="majorBidi"/>
      <w:color w:val="365F91" w:themeColor="accent1" w:themeShade="BF"/>
      <w:sz w:val="20"/>
    </w:rPr>
  </w:style>
  <w:style w:type="character" w:customStyle="1" w:styleId="Titre6Car">
    <w:name w:val="Titre 6 Car"/>
    <w:basedOn w:val="Policepardfaut"/>
    <w:link w:val="Titre6"/>
    <w:uiPriority w:val="9"/>
    <w:semiHidden/>
    <w:rsid w:val="0093390D"/>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Titre8Car">
    <w:name w:val="Titre 8 Car"/>
    <w:basedOn w:val="Policepardfaut"/>
    <w:link w:val="Titre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3390D"/>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semiHidden/>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M1">
    <w:name w:val="toc 1"/>
    <w:basedOn w:val="Normal"/>
    <w:next w:val="Normal"/>
    <w:autoRedefine/>
    <w:uiPriority w:val="39"/>
    <w:unhideWhenUsed/>
    <w:qFormat/>
    <w:rsid w:val="00091D48"/>
    <w:pPr>
      <w:spacing w:after="100"/>
    </w:pPr>
  </w:style>
  <w:style w:type="paragraph" w:styleId="TM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M3">
    <w:name w:val="toc 3"/>
    <w:basedOn w:val="Normal"/>
    <w:next w:val="Normal"/>
    <w:autoRedefine/>
    <w:uiPriority w:val="39"/>
    <w:semiHidden/>
    <w:unhideWhenUsed/>
    <w:qFormat/>
    <w:rsid w:val="00091D48"/>
    <w:pPr>
      <w:spacing w:after="100"/>
      <w:ind w:left="440"/>
      <w:jc w:val="left"/>
    </w:pPr>
    <w:rPr>
      <w:rFonts w:asciiTheme="minorHAnsi" w:eastAsiaTheme="minorEastAsia" w:hAnsiTheme="minorHAnsi"/>
      <w:sz w:val="22"/>
      <w:lang w:eastAsia="fr-BE"/>
    </w:rPr>
  </w:style>
  <w:style w:type="character" w:styleId="Lienhypertexte">
    <w:name w:val="Hyperlink"/>
    <w:basedOn w:val="Policepardfaut"/>
    <w:uiPriority w:val="99"/>
    <w:unhideWhenUsed/>
    <w:rsid w:val="00107150"/>
    <w:rPr>
      <w:color w:val="0000FF" w:themeColor="hyperlink"/>
      <w:u w:val="single"/>
    </w:rPr>
  </w:style>
  <w:style w:type="table" w:styleId="Grilledutableau">
    <w:name w:val="Table Grid"/>
    <w:basedOn w:val="Tableau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Notedebasdepage">
    <w:name w:val="footnote text"/>
    <w:basedOn w:val="Normal"/>
    <w:link w:val="NotedebasdepageCar"/>
    <w:uiPriority w:val="99"/>
    <w:semiHidden/>
    <w:unhideWhenUsed/>
    <w:rsid w:val="00901391"/>
    <w:pPr>
      <w:spacing w:after="0" w:line="240" w:lineRule="auto"/>
    </w:pPr>
    <w:rPr>
      <w:szCs w:val="20"/>
    </w:rPr>
  </w:style>
  <w:style w:type="character" w:customStyle="1" w:styleId="NotedebasdepageCar">
    <w:name w:val="Note de bas de page Car"/>
    <w:basedOn w:val="Policepardfaut"/>
    <w:link w:val="Notedebasdepage"/>
    <w:uiPriority w:val="99"/>
    <w:semiHidden/>
    <w:rsid w:val="00901391"/>
    <w:rPr>
      <w:rFonts w:ascii="Arial" w:hAnsi="Arial"/>
      <w:sz w:val="20"/>
      <w:szCs w:val="20"/>
    </w:rPr>
  </w:style>
  <w:style w:type="character" w:styleId="Appelnotedebasdep">
    <w:name w:val="footnote reference"/>
    <w:basedOn w:val="Policepardfaut"/>
    <w:uiPriority w:val="99"/>
    <w:semiHidden/>
    <w:unhideWhenUsed/>
    <w:rsid w:val="00901391"/>
    <w:rPr>
      <w:vertAlign w:val="superscript"/>
    </w:rPr>
  </w:style>
  <w:style w:type="character" w:styleId="Marquedecommentaire">
    <w:name w:val="annotation reference"/>
    <w:basedOn w:val="Policepardfaut"/>
    <w:uiPriority w:val="99"/>
    <w:semiHidden/>
    <w:unhideWhenUsed/>
    <w:rsid w:val="000E2270"/>
    <w:rPr>
      <w:sz w:val="16"/>
      <w:szCs w:val="16"/>
    </w:rPr>
  </w:style>
  <w:style w:type="paragraph" w:styleId="Commentaire">
    <w:name w:val="annotation text"/>
    <w:basedOn w:val="Normal"/>
    <w:link w:val="CommentaireCar"/>
    <w:uiPriority w:val="99"/>
    <w:semiHidden/>
    <w:unhideWhenUsed/>
    <w:rsid w:val="000E2270"/>
    <w:pPr>
      <w:spacing w:line="240" w:lineRule="auto"/>
    </w:pPr>
    <w:rPr>
      <w:szCs w:val="20"/>
    </w:rPr>
  </w:style>
  <w:style w:type="character" w:customStyle="1" w:styleId="CommentaireCar">
    <w:name w:val="Commentaire Car"/>
    <w:basedOn w:val="Policepardfaut"/>
    <w:link w:val="Commentaire"/>
    <w:uiPriority w:val="99"/>
    <w:semiHidden/>
    <w:rsid w:val="000E227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E2270"/>
    <w:rPr>
      <w:b/>
      <w:bCs/>
    </w:rPr>
  </w:style>
  <w:style w:type="character" w:customStyle="1" w:styleId="ObjetducommentaireCar">
    <w:name w:val="Objet du commentaire Car"/>
    <w:basedOn w:val="CommentaireCar"/>
    <w:link w:val="Objetducommentaire"/>
    <w:uiPriority w:val="99"/>
    <w:semiHidden/>
    <w:rsid w:val="000E22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viere@sprb.brussels" TargetMode="Externa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Introduits</c:v>
                </c:pt>
              </c:strCache>
            </c:strRef>
          </c:tx>
          <c:spPr>
            <a:solidFill>
              <a:srgbClr val="C0C0C0"/>
            </a:solidFill>
            <a:ln w="25365">
              <a:noFill/>
            </a:ln>
          </c:spPr>
          <c:invertIfNegative val="0"/>
          <c:dLbls>
            <c:dLbl>
              <c:idx val="0"/>
              <c:layout>
                <c:manualLayout>
                  <c:x val="4.1474014109280522E-3"/>
                  <c:y val="-1.683603803172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74-449F-89CB-FBE66C359C4E}"/>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Sheet1!$B$2:$E$2</c:f>
              <c:numCache>
                <c:formatCode>General</c:formatCode>
                <c:ptCount val="4"/>
                <c:pt idx="0">
                  <c:v>2668</c:v>
                </c:pt>
                <c:pt idx="1">
                  <c:v>1212</c:v>
                </c:pt>
                <c:pt idx="2">
                  <c:v>762</c:v>
                </c:pt>
                <c:pt idx="3">
                  <c:v>667</c:v>
                </c:pt>
              </c:numCache>
            </c:numRef>
          </c:val>
          <c:extLst>
            <c:ext xmlns:c16="http://schemas.microsoft.com/office/drawing/2014/chart" uri="{C3380CC4-5D6E-409C-BE32-E72D297353CC}">
              <c16:uniqueId val="{00000001-AC74-449F-89CB-FBE66C359C4E}"/>
            </c:ext>
          </c:extLst>
        </c:ser>
        <c:ser>
          <c:idx val="1"/>
          <c:order val="1"/>
          <c:tx>
            <c:strRef>
              <c:f>Sheet1!$A$3</c:f>
              <c:strCache>
                <c:ptCount val="1"/>
                <c:pt idx="0">
                  <c:v>Décidés TOTAL</c:v>
                </c:pt>
              </c:strCache>
            </c:strRef>
          </c:tx>
          <c:spPr>
            <a:solidFill>
              <a:srgbClr val="00CCFF"/>
            </a:solidFill>
            <a:ln w="12682">
              <a:solidFill>
                <a:srgbClr val="00CCFF"/>
              </a:solidFill>
              <a:prstDash val="solid"/>
            </a:ln>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74-449F-89CB-FBE66C359C4E}"/>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Sheet1!$B$3:$E$3</c:f>
              <c:numCache>
                <c:formatCode>General</c:formatCode>
                <c:ptCount val="4"/>
                <c:pt idx="0">
                  <c:v>2428</c:v>
                </c:pt>
                <c:pt idx="1">
                  <c:v>1100</c:v>
                </c:pt>
                <c:pt idx="2">
                  <c:v>602</c:v>
                </c:pt>
                <c:pt idx="3">
                  <c:v>546</c:v>
                </c:pt>
              </c:numCache>
            </c:numRef>
          </c:val>
          <c:extLst>
            <c:ext xmlns:c16="http://schemas.microsoft.com/office/drawing/2014/chart" uri="{C3380CC4-5D6E-409C-BE32-E72D297353CC}">
              <c16:uniqueId val="{00000003-AC74-449F-89CB-FBE66C359C4E}"/>
            </c:ext>
          </c:extLst>
        </c:ser>
        <c:ser>
          <c:idx val="2"/>
          <c:order val="2"/>
          <c:tx>
            <c:strRef>
              <c:f>Sheet1!$A$4</c:f>
              <c:strCache>
                <c:ptCount val="1"/>
                <c:pt idx="0">
                  <c:v>Octrois</c:v>
                </c:pt>
              </c:strCache>
            </c:strRef>
          </c:tx>
          <c:spPr>
            <a:solidFill>
              <a:srgbClr val="00FF00"/>
            </a:solidFill>
            <a:ln w="12682">
              <a:solidFill>
                <a:srgbClr val="00FF00"/>
              </a:solidFill>
              <a:prstDash val="solid"/>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Sheet1!$B$4:$E$4</c:f>
              <c:numCache>
                <c:formatCode>General</c:formatCode>
                <c:ptCount val="4"/>
                <c:pt idx="0">
                  <c:v>1905</c:v>
                </c:pt>
                <c:pt idx="1">
                  <c:v>896</c:v>
                </c:pt>
                <c:pt idx="2">
                  <c:v>403</c:v>
                </c:pt>
                <c:pt idx="3">
                  <c:v>301</c:v>
                </c:pt>
              </c:numCache>
            </c:numRef>
          </c:val>
          <c:extLst>
            <c:ext xmlns:c16="http://schemas.microsoft.com/office/drawing/2014/chart" uri="{C3380CC4-5D6E-409C-BE32-E72D297353CC}">
              <c16:uniqueId val="{00000004-AC74-449F-89CB-FBE66C359C4E}"/>
            </c:ext>
          </c:extLst>
        </c:ser>
        <c:ser>
          <c:idx val="3"/>
          <c:order val="3"/>
          <c:tx>
            <c:strRef>
              <c:f>Sheet1!$A$5</c:f>
              <c:strCache>
                <c:ptCount val="1"/>
                <c:pt idx="0">
                  <c:v>Refus</c:v>
                </c:pt>
              </c:strCache>
            </c:strRef>
          </c:tx>
          <c:spPr>
            <a:solidFill>
              <a:srgbClr val="FF0000"/>
            </a:solidFill>
            <a:ln w="12682">
              <a:solidFill>
                <a:srgbClr val="FF0000"/>
              </a:solidFill>
              <a:prstDash val="solid"/>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Sheet1!$B$5:$E$5</c:f>
              <c:numCache>
                <c:formatCode>General</c:formatCode>
                <c:ptCount val="4"/>
                <c:pt idx="0">
                  <c:v>523</c:v>
                </c:pt>
                <c:pt idx="1">
                  <c:v>204</c:v>
                </c:pt>
                <c:pt idx="2">
                  <c:v>199</c:v>
                </c:pt>
                <c:pt idx="3">
                  <c:v>245</c:v>
                </c:pt>
              </c:numCache>
            </c:numRef>
          </c:val>
          <c:extLst>
            <c:ext xmlns:c16="http://schemas.microsoft.com/office/drawing/2014/chart" uri="{C3380CC4-5D6E-409C-BE32-E72D297353CC}">
              <c16:uniqueId val="{00000005-AC74-449F-89CB-FBE66C359C4E}"/>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a:solidFill>
                <a:srgbClr val="FFFFFF"/>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prstDash val="solid"/>
        </a:ln>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prstDash val="solid"/>
        </a:ln>
      </c:spPr>
      <c:txPr>
        <a:bodyPr/>
        <a:lstStyle/>
        <a:p>
          <a:pPr>
            <a:defRPr sz="734" b="0" i="0" u="none" strike="noStrike"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a:noFill/>
    </a:ln>
  </c:spPr>
  <c:txPr>
    <a:bodyPr/>
    <a:lstStyle/>
    <a:p>
      <a:pPr>
        <a:defRPr sz="1698" b="1" i="0" u="none" strike="noStrike" baseline="0">
          <a:solidFill>
            <a:srgbClr val="000000"/>
          </a:solidFill>
          <a:latin typeface="Arial"/>
          <a:ea typeface="Arial"/>
          <a:cs typeface="Arial"/>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655678927675383"/>
          <c:y val="0.2384102534628427"/>
          <c:w val="0.30886850152905199"/>
          <c:h val="0.5298013245033113"/>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prstDash val="solid"/>
            </a:ln>
          </c:spPr>
          <c:explosion val="23"/>
          <c:dPt>
            <c:idx val="0"/>
            <c:bubble3D val="0"/>
            <c:extLst>
              <c:ext xmlns:c16="http://schemas.microsoft.com/office/drawing/2014/chart" uri="{C3380CC4-5D6E-409C-BE32-E72D297353CC}">
                <c16:uniqueId val="{00000000-BD73-4196-8367-8BC72884564A}"/>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BD73-4196-8367-8BC72884564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BD73-4196-8367-8BC72884564A}"/>
              </c:ext>
            </c:extLst>
          </c:dPt>
          <c:dLbls>
            <c:dLbl>
              <c:idx val="0"/>
              <c:layout>
                <c:manualLayout>
                  <c:x val="4.8484848484848485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D73-4196-8367-8BC72884564A}"/>
                </c:ext>
              </c:extLst>
            </c:dLbl>
            <c:dLbl>
              <c:idx val="1"/>
              <c:layout>
                <c:manualLayout>
                  <c:x val="-1.5426997245179064E-2"/>
                  <c:y val="-2.0928220944690398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D73-4196-8367-8BC72884564A}"/>
                </c:ext>
              </c:extLst>
            </c:dLbl>
            <c:numFmt formatCode="0%" sourceLinked="0"/>
            <c:spPr>
              <a:noFill/>
              <a:ln w="25399">
                <a:noFill/>
              </a:ln>
            </c:spPr>
            <c:txPr>
              <a:bodyPr/>
              <a:lstStyle/>
              <a:p>
                <a:pPr>
                  <a:defRPr sz="85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284</c:v>
                </c:pt>
                <c:pt idx="1">
                  <c:v>98</c:v>
                </c:pt>
                <c:pt idx="2">
                  <c:v>19</c:v>
                </c:pt>
              </c:numCache>
            </c:numRef>
          </c:val>
          <c:extLst>
            <c:ext xmlns:c16="http://schemas.microsoft.com/office/drawing/2014/chart" uri="{C3380CC4-5D6E-409C-BE32-E72D297353CC}">
              <c16:uniqueId val="{00000005-BD73-4196-8367-8BC72884564A}"/>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42857142857144"/>
          <c:y val="0.17058823529411765"/>
          <c:w val="0.44873949579831934"/>
          <c:h val="0.66470588235294115"/>
        </c:manualLayout>
      </c:layout>
      <c:barChart>
        <c:barDir val="bar"/>
        <c:grouping val="clustered"/>
        <c:varyColors val="0"/>
        <c:ser>
          <c:idx val="1"/>
          <c:order val="0"/>
          <c:spPr>
            <a:solidFill>
              <a:srgbClr val="9999FF"/>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9"/>
                <c:pt idx="0">
                  <c:v>Horeca</c:v>
                </c:pt>
                <c:pt idx="1">
                  <c:v>Commerce</c:v>
                </c:pt>
                <c:pt idx="2">
                  <c:v>Industrie</c:v>
                </c:pt>
                <c:pt idx="3">
                  <c:v>Activités spécialisées</c:v>
                </c:pt>
                <c:pt idx="4">
                  <c:v>Information et communication</c:v>
                </c:pt>
                <c:pt idx="5">
                  <c:v>Activités récréatives</c:v>
                </c:pt>
                <c:pt idx="6">
                  <c:v>Autres activités de service</c:v>
                </c:pt>
                <c:pt idx="7">
                  <c:v>Services administratifs</c:v>
                </c:pt>
                <c:pt idx="8">
                  <c:v>Autres</c:v>
                </c:pt>
              </c:strCache>
            </c:strRef>
          </c:cat>
          <c:val>
            <c:numRef>
              <c:f>Sheet1!$A$3:$I$3</c:f>
              <c:numCache>
                <c:formatCode>0.00%</c:formatCode>
                <c:ptCount val="9"/>
                <c:pt idx="0">
                  <c:v>0.32369049153779639</c:v>
                </c:pt>
                <c:pt idx="1">
                  <c:v>0.27955399381843926</c:v>
                </c:pt>
                <c:pt idx="2">
                  <c:v>0.12692255979480455</c:v>
                </c:pt>
                <c:pt idx="3">
                  <c:v>3.9916621290736309E-2</c:v>
                </c:pt>
                <c:pt idx="4">
                  <c:v>2.5957078484259877E-2</c:v>
                </c:pt>
                <c:pt idx="5">
                  <c:v>2.3390931976772777E-2</c:v>
                </c:pt>
                <c:pt idx="6">
                  <c:v>1.9744403671036324E-2</c:v>
                </c:pt>
                <c:pt idx="7">
                  <c:v>1.2719165883182637E-2</c:v>
                </c:pt>
                <c:pt idx="8">
                  <c:v>0.14810475354297195</c:v>
                </c:pt>
              </c:numCache>
            </c:numRef>
          </c:val>
          <c:extLst>
            <c:ext xmlns:c16="http://schemas.microsoft.com/office/drawing/2014/chart" uri="{C3380CC4-5D6E-409C-BE32-E72D297353CC}">
              <c16:uniqueId val="{00000000-885E-4E1C-B8EB-CEBFCD2EA524}"/>
            </c:ext>
          </c:extLst>
        </c:ser>
        <c:dLbls>
          <c:dLblPos val="outEnd"/>
          <c:showLegendKey val="0"/>
          <c:showVal val="1"/>
          <c:showCatName val="0"/>
          <c:showSerName val="0"/>
          <c:showPercent val="0"/>
          <c:showBubbleSize val="0"/>
        </c:dLbls>
        <c:gapWidth val="150"/>
        <c:axId val="183607296"/>
        <c:axId val="183608832"/>
      </c:barChart>
      <c:catAx>
        <c:axId val="1836072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fr-FR"/>
          </a:p>
        </c:txPr>
        <c:crossAx val="183608832"/>
        <c:crosses val="autoZero"/>
        <c:auto val="1"/>
        <c:lblAlgn val="ctr"/>
        <c:lblOffset val="100"/>
        <c:noMultiLvlLbl val="0"/>
      </c:catAx>
      <c:valAx>
        <c:axId val="183608832"/>
        <c:scaling>
          <c:orientation val="minMax"/>
        </c:scaling>
        <c:delete val="1"/>
        <c:axPos val="b"/>
        <c:numFmt formatCode="0.00%" sourceLinked="1"/>
        <c:majorTickMark val="out"/>
        <c:minorTickMark val="none"/>
        <c:tickLblPos val="nextTo"/>
        <c:crossAx val="18360729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920227668170695"/>
          <c:y val="0.33372717299226484"/>
          <c:w val="0.38082901554404147"/>
          <c:h val="0.32402234636871508"/>
        </c:manualLayout>
      </c:layout>
      <c:pie3DChart>
        <c:varyColors val="1"/>
        <c:ser>
          <c:idx val="0"/>
          <c:order val="0"/>
          <c:tx>
            <c:strRef>
              <c:f>Sheet1!$A$2</c:f>
              <c:strCache>
                <c:ptCount val="1"/>
                <c:pt idx="0">
                  <c:v>Dossiers à l'introduction</c:v>
                </c:pt>
              </c:strCache>
            </c:strRef>
          </c:tx>
          <c:spPr>
            <a:solidFill>
              <a:srgbClr val="9999FF"/>
            </a:solidFill>
            <a:ln w="12676">
              <a:solidFill>
                <a:srgbClr val="000000"/>
              </a:solidFill>
              <a:prstDash val="solid"/>
            </a:ln>
          </c:spPr>
          <c:explosion val="24"/>
          <c:dPt>
            <c:idx val="0"/>
            <c:bubble3D val="0"/>
            <c:extLst>
              <c:ext xmlns:c16="http://schemas.microsoft.com/office/drawing/2014/chart" uri="{C3380CC4-5D6E-409C-BE32-E72D297353CC}">
                <c16:uniqueId val="{00000000-088D-4905-A67F-BB22FD392499}"/>
              </c:ext>
            </c:extLst>
          </c:dPt>
          <c:dPt>
            <c:idx val="1"/>
            <c:bubble3D val="0"/>
            <c:spPr>
              <a:solidFill>
                <a:srgbClr val="993366"/>
              </a:solidFill>
              <a:ln w="12676">
                <a:solidFill>
                  <a:srgbClr val="000000"/>
                </a:solidFill>
                <a:prstDash val="solid"/>
              </a:ln>
            </c:spPr>
            <c:extLst>
              <c:ext xmlns:c16="http://schemas.microsoft.com/office/drawing/2014/chart" uri="{C3380CC4-5D6E-409C-BE32-E72D297353CC}">
                <c16:uniqueId val="{00000002-088D-4905-A67F-BB22FD392499}"/>
              </c:ext>
            </c:extLst>
          </c:dPt>
          <c:dLbls>
            <c:dLbl>
              <c:idx val="0"/>
              <c:layout>
                <c:manualLayout>
                  <c:x val="5.3809724690999969E-2"/>
                  <c:y val="-6.3771945397163896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088D-4905-A67F-BB22FD392499}"/>
                </c:ext>
              </c:extLst>
            </c:dLbl>
            <c:dLbl>
              <c:idx val="1"/>
              <c:layout>
                <c:manualLayout>
                  <c:x val="-9.435770218650304E-3"/>
                  <c:y val="-0.1112180234547997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088D-4905-A67F-BB22FD39249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301</c:v>
                </c:pt>
                <c:pt idx="1">
                  <c:v>245</c:v>
                </c:pt>
              </c:numCache>
            </c:numRef>
          </c:val>
          <c:extLst>
            <c:ext xmlns:c16="http://schemas.microsoft.com/office/drawing/2014/chart" uri="{C3380CC4-5D6E-409C-BE32-E72D297353CC}">
              <c16:uniqueId val="{00000003-088D-4905-A67F-BB22FD392499}"/>
            </c:ext>
          </c:extLst>
        </c:ser>
        <c:dLbls>
          <c:showLegendKey val="0"/>
          <c:showVal val="0"/>
          <c:showCatName val="0"/>
          <c:showSerName val="0"/>
          <c:showPercent val="0"/>
          <c:showBubbleSize val="0"/>
          <c:showLeaderLines val="1"/>
        </c:dLbls>
      </c:pie3DChart>
      <c:spPr>
        <a:solidFill>
          <a:srgbClr val="FFFFFF"/>
        </a:solidFill>
        <a:ln w="12676">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315436241610737E-2"/>
          <c:y val="0.26500000000000001"/>
          <c:w val="0.40436241610738255"/>
          <c:h val="0.4749999999999999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prstDash val="solid"/>
            </a:ln>
          </c:spPr>
          <c:explosion val="23"/>
          <c:dPt>
            <c:idx val="0"/>
            <c:bubble3D val="0"/>
            <c:extLst>
              <c:ext xmlns:c16="http://schemas.microsoft.com/office/drawing/2014/chart" uri="{C3380CC4-5D6E-409C-BE32-E72D297353CC}">
                <c16:uniqueId val="{00000000-7E8F-4BDE-8838-5106A0F53013}"/>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2-7E8F-4BDE-8838-5106A0F53013}"/>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4-7E8F-4BDE-8838-5106A0F53013}"/>
              </c:ext>
            </c:extLst>
          </c:dPt>
          <c:dPt>
            <c:idx val="3"/>
            <c:bubble3D val="0"/>
            <c:spPr>
              <a:solidFill>
                <a:srgbClr val="CCFFFF"/>
              </a:solidFill>
              <a:ln w="12701">
                <a:solidFill>
                  <a:srgbClr val="000000"/>
                </a:solidFill>
                <a:prstDash val="solid"/>
              </a:ln>
            </c:spPr>
            <c:extLst>
              <c:ext xmlns:c16="http://schemas.microsoft.com/office/drawing/2014/chart" uri="{C3380CC4-5D6E-409C-BE32-E72D297353CC}">
                <c16:uniqueId val="{00000006-7E8F-4BDE-8838-5106A0F53013}"/>
              </c:ext>
            </c:extLst>
          </c:dPt>
          <c:dLbls>
            <c:dLbl>
              <c:idx val="0"/>
              <c:layout>
                <c:manualLayout>
                  <c:x val="2.4241494567094107E-2"/>
                  <c:y val="3.83244085744074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8F-4BDE-8838-5106A0F53013}"/>
                </c:ext>
              </c:extLst>
            </c:dLbl>
            <c:numFmt formatCode="0%" sourceLinked="0"/>
            <c:spPr>
              <a:noFill/>
              <a:ln w="25401">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micro</c:v>
                </c:pt>
                <c:pt idx="1">
                  <c:v>petite</c:v>
                </c:pt>
                <c:pt idx="2">
                  <c:v>moyenne</c:v>
                </c:pt>
                <c:pt idx="3">
                  <c:v>grande</c:v>
                </c:pt>
              </c:strCache>
            </c:strRef>
          </c:cat>
          <c:val>
            <c:numRef>
              <c:f>Sheet1!$B$2:$E$2</c:f>
              <c:numCache>
                <c:formatCode>General</c:formatCode>
                <c:ptCount val="4"/>
                <c:pt idx="0">
                  <c:v>197</c:v>
                </c:pt>
                <c:pt idx="1">
                  <c:v>68</c:v>
                </c:pt>
                <c:pt idx="2">
                  <c:v>21</c:v>
                </c:pt>
                <c:pt idx="3">
                  <c:v>15</c:v>
                </c:pt>
              </c:numCache>
            </c:numRef>
          </c:val>
          <c:extLst>
            <c:ext xmlns:c16="http://schemas.microsoft.com/office/drawing/2014/chart" uri="{C3380CC4-5D6E-409C-BE32-E72D297353CC}">
              <c16:uniqueId val="{00000007-7E8F-4BDE-8838-5106A0F53013}"/>
            </c:ext>
          </c:extLst>
        </c:ser>
        <c:dLbls>
          <c:showLegendKey val="0"/>
          <c:showVal val="0"/>
          <c:showCatName val="0"/>
          <c:showSerName val="0"/>
          <c:showPercent val="0"/>
          <c:showBubbleSize val="0"/>
          <c:showLeaderLines val="1"/>
        </c:dLbls>
      </c:pie3DChart>
      <c:spPr>
        <a:solidFill>
          <a:srgbClr val="FFFFFF"/>
        </a:solidFill>
        <a:ln w="12701">
          <a:solidFill>
            <a:srgbClr val="FFFFFF"/>
          </a:solidFill>
          <a:prstDash val="solid"/>
        </a:ln>
      </c:spPr>
    </c:plotArea>
    <c:plotVisOnly val="1"/>
    <c:dispBlanksAs val="zero"/>
    <c:showDLblsOverMax val="0"/>
  </c:chart>
  <c:spPr>
    <a:noFill/>
    <a:ln>
      <a:noFill/>
    </a:ln>
  </c:spPr>
  <c:txPr>
    <a:bodyPr/>
    <a:lstStyle/>
    <a:p>
      <a:pPr>
        <a:defRPr sz="875" b="1" i="0" u="none" strike="noStrike" baseline="0">
          <a:solidFill>
            <a:srgbClr val="000000"/>
          </a:solidFill>
          <a:latin typeface="Arial"/>
          <a:ea typeface="Arial"/>
          <a:cs typeface="Arial"/>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23255813953489"/>
          <c:y val="0.17886178861788618"/>
          <c:w val="0.30852713178294572"/>
          <c:h val="0.65040650406504064"/>
        </c:manualLayout>
      </c:layout>
      <c:barChart>
        <c:barDir val="bar"/>
        <c:grouping val="clustered"/>
        <c:varyColors val="0"/>
        <c:ser>
          <c:idx val="0"/>
          <c:order val="0"/>
          <c:invertIfNegative val="0"/>
          <c:dLbls>
            <c:spPr>
              <a:noFill/>
              <a:ln>
                <a:noFill/>
              </a:ln>
              <a:effectLst/>
            </c:spPr>
            <c:txPr>
              <a:bodyPr/>
              <a:lstStyle/>
              <a:p>
                <a:pPr>
                  <a:defRPr sz="800" baseline="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Sheet1!$A$1:$E$1</c:f>
              <c:strCache>
                <c:ptCount val="5"/>
                <c:pt idx="0">
                  <c:v>Commerce</c:v>
                </c:pt>
                <c:pt idx="1">
                  <c:v>Horeca</c:v>
                </c:pt>
                <c:pt idx="2">
                  <c:v>Industrie</c:v>
                </c:pt>
                <c:pt idx="3">
                  <c:v>Autres activités de services</c:v>
                </c:pt>
                <c:pt idx="4">
                  <c:v>Autres</c:v>
                </c:pt>
              </c:strCache>
            </c:strRef>
          </c:cat>
          <c:val>
            <c:numRef>
              <c:f>Sheet1!$A$2:$E$2</c:f>
              <c:numCache>
                <c:formatCode>0.00%</c:formatCode>
                <c:ptCount val="5"/>
                <c:pt idx="0">
                  <c:v>0.49157621560766884</c:v>
                </c:pt>
                <c:pt idx="1">
                  <c:v>0.26679648824894325</c:v>
                </c:pt>
                <c:pt idx="2">
                  <c:v>0.12381137411403129</c:v>
                </c:pt>
                <c:pt idx="3">
                  <c:v>6.7956934803783411E-2</c:v>
                </c:pt>
                <c:pt idx="4">
                  <c:v>4.9858987225573179E-2</c:v>
                </c:pt>
              </c:numCache>
            </c:numRef>
          </c:val>
          <c:extLst>
            <c:ext xmlns:c16="http://schemas.microsoft.com/office/drawing/2014/chart" uri="{C3380CC4-5D6E-409C-BE32-E72D297353CC}">
              <c16:uniqueId val="{00000000-3A99-40AC-91E8-789A872F03A7}"/>
            </c:ext>
          </c:extLst>
        </c:ser>
        <c:dLbls>
          <c:showLegendKey val="0"/>
          <c:showVal val="0"/>
          <c:showCatName val="0"/>
          <c:showSerName val="0"/>
          <c:showPercent val="0"/>
          <c:showBubbleSize val="0"/>
        </c:dLbls>
        <c:gapWidth val="150"/>
        <c:axId val="183761920"/>
        <c:axId val="183767808"/>
      </c:barChart>
      <c:catAx>
        <c:axId val="1837619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fr-FR"/>
          </a:p>
        </c:txPr>
        <c:crossAx val="183767808"/>
        <c:crosses val="autoZero"/>
        <c:auto val="1"/>
        <c:lblAlgn val="ctr"/>
        <c:lblOffset val="100"/>
        <c:tickLblSkip val="1"/>
        <c:tickMarkSkip val="1"/>
        <c:noMultiLvlLbl val="0"/>
      </c:catAx>
      <c:valAx>
        <c:axId val="183767808"/>
        <c:scaling>
          <c:orientation val="minMax"/>
        </c:scaling>
        <c:delete val="1"/>
        <c:axPos val="b"/>
        <c:numFmt formatCode="0.00%" sourceLinked="1"/>
        <c:majorTickMark val="out"/>
        <c:minorTickMark val="none"/>
        <c:tickLblPos val="nextTo"/>
        <c:crossAx val="183761920"/>
        <c:crosses val="autoZero"/>
        <c:crossBetween val="between"/>
      </c:valAx>
      <c:spPr>
        <a:noFill/>
        <a:ln w="25400">
          <a:noFill/>
        </a:ln>
      </c:spPr>
    </c:plotArea>
    <c:plotVisOnly val="1"/>
    <c:dispBlanksAs val="gap"/>
    <c:showDLblsOverMax val="0"/>
  </c:chart>
  <c:spPr>
    <a:noFill/>
    <a:ln>
      <a:noFill/>
    </a:ln>
  </c:spPr>
  <c:txPr>
    <a:bodyPr/>
    <a:lstStyle/>
    <a:p>
      <a:pPr>
        <a:defRPr sz="475" b="1" i="0" u="none" strike="noStrike" baseline="0">
          <a:solidFill>
            <a:srgbClr val="000000"/>
          </a:solidFill>
          <a:latin typeface="Calibri"/>
          <a:ea typeface="Calibri"/>
          <a:cs typeface="Calibri"/>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238511574013108"/>
          <c:y val="0.29025141594142839"/>
          <c:w val="0.40407470288624786"/>
          <c:h val="0.43577981651376146"/>
        </c:manualLayout>
      </c:layout>
      <c:pie3DChart>
        <c:varyColors val="1"/>
        <c:ser>
          <c:idx val="0"/>
          <c:order val="0"/>
          <c:tx>
            <c:strRef>
              <c:f>Sheet1!$A$2</c:f>
              <c:strCache>
                <c:ptCount val="1"/>
                <c:pt idx="0">
                  <c:v>Dossiers à l'introduction</c:v>
                </c:pt>
              </c:strCache>
            </c:strRef>
          </c:tx>
          <c:spPr>
            <a:solidFill>
              <a:srgbClr val="9999FF"/>
            </a:solidFill>
            <a:ln w="12679">
              <a:solidFill>
                <a:srgbClr val="000000"/>
              </a:solidFill>
              <a:prstDash val="solid"/>
            </a:ln>
          </c:spPr>
          <c:explosion val="23"/>
          <c:dPt>
            <c:idx val="0"/>
            <c:bubble3D val="0"/>
            <c:extLst>
              <c:ext xmlns:c16="http://schemas.microsoft.com/office/drawing/2014/chart" uri="{C3380CC4-5D6E-409C-BE32-E72D297353CC}">
                <c16:uniqueId val="{00000000-331A-468D-82DA-1F0AC480C251}"/>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2-331A-468D-82DA-1F0AC480C251}"/>
              </c:ext>
            </c:extLst>
          </c:dPt>
          <c:dLbls>
            <c:dLbl>
              <c:idx val="0"/>
              <c:layout>
                <c:manualLayout>
                  <c:x val="2.7034746906775986E-2"/>
                  <c:y val="7.72875767274216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1A-468D-82DA-1F0AC480C251}"/>
                </c:ext>
              </c:extLst>
            </c:dLbl>
            <c:dLbl>
              <c:idx val="1"/>
              <c:layout>
                <c:manualLayout>
                  <c:x val="-2.9492451171028351E-2"/>
                  <c:y val="-2.10784300165695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31A-468D-82DA-1F0AC480C251}"/>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octrois</c:v>
                </c:pt>
                <c:pt idx="1">
                  <c:v>décidés défavorables</c:v>
                </c:pt>
              </c:strCache>
            </c:strRef>
          </c:cat>
          <c:val>
            <c:numRef>
              <c:f>Sheet1!$B$2:$C$2</c:f>
              <c:numCache>
                <c:formatCode>General</c:formatCode>
                <c:ptCount val="2"/>
                <c:pt idx="0">
                  <c:v>896</c:v>
                </c:pt>
                <c:pt idx="1">
                  <c:v>203</c:v>
                </c:pt>
              </c:numCache>
            </c:numRef>
          </c:val>
          <c:extLst>
            <c:ext xmlns:c16="http://schemas.microsoft.com/office/drawing/2014/chart" uri="{C3380CC4-5D6E-409C-BE32-E72D297353CC}">
              <c16:uniqueId val="{00000003-331A-468D-82DA-1F0AC480C251}"/>
            </c:ext>
          </c:extLst>
        </c:ser>
        <c:dLbls>
          <c:showLegendKey val="0"/>
          <c:showVal val="0"/>
          <c:showCatName val="0"/>
          <c:showSerName val="0"/>
          <c:showPercent val="0"/>
          <c:showBubbleSize val="0"/>
          <c:showLeaderLines val="1"/>
        </c:dLbls>
      </c:pie3DChart>
      <c:spPr>
        <a:solidFill>
          <a:srgbClr val="FFFFFF"/>
        </a:solidFill>
        <a:ln w="12679">
          <a:solidFill>
            <a:srgbClr val="FFFFFF"/>
          </a:solidFill>
          <a:prstDash val="solid"/>
        </a:ln>
      </c:spPr>
    </c:plotArea>
    <c:plotVisOnly val="1"/>
    <c:dispBlanksAs val="zero"/>
    <c:showDLblsOverMax val="0"/>
  </c:chart>
  <c:spPr>
    <a:noFill/>
    <a:ln>
      <a:noFill/>
    </a:ln>
  </c:spPr>
  <c:txPr>
    <a:bodyPr/>
    <a:lstStyle/>
    <a:p>
      <a:pPr>
        <a:defRPr sz="948" b="1" i="0" u="none" strike="noStrike" baseline="0">
          <a:solidFill>
            <a:srgbClr val="000000"/>
          </a:solidFill>
          <a:latin typeface="Arial"/>
          <a:ea typeface="Arial"/>
          <a:cs typeface="Aria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1560824945981586"/>
          <c:y val="0.23972609193081634"/>
          <c:w val="0.32500000000000001"/>
          <c:h val="0.5342465753424657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prstDash val="solid"/>
            </a:ln>
          </c:spPr>
          <c:explosion val="23"/>
          <c:dPt>
            <c:idx val="0"/>
            <c:bubble3D val="0"/>
            <c:extLst>
              <c:ext xmlns:c16="http://schemas.microsoft.com/office/drawing/2014/chart" uri="{C3380CC4-5D6E-409C-BE32-E72D297353CC}">
                <c16:uniqueId val="{00000000-3582-42FD-887D-EB9DA42ED632}"/>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2-3582-42FD-887D-EB9DA42ED632}"/>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4-3582-42FD-887D-EB9DA42ED632}"/>
              </c:ext>
            </c:extLst>
          </c:dPt>
          <c:dLbls>
            <c:dLbl>
              <c:idx val="0"/>
              <c:layout>
                <c:manualLayout>
                  <c:x val="3.2733224222585844E-2"/>
                  <c:y val="7.8346673280123027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582-42FD-887D-EB9DA42ED632}"/>
                </c:ext>
              </c:extLst>
            </c:dLbl>
            <c:dLbl>
              <c:idx val="1"/>
              <c:layout>
                <c:manualLayout>
                  <c:x val="-2.6186579378068741E-2"/>
                  <c:y val="8.547008547008547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582-42FD-887D-EB9DA42ED632}"/>
                </c:ext>
              </c:extLst>
            </c:dLbl>
            <c:numFmt formatCode="0%" sourceLinked="0"/>
            <c:spPr>
              <a:noFill/>
              <a:ln w="25402">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688</c:v>
                </c:pt>
                <c:pt idx="1">
                  <c:v>141</c:v>
                </c:pt>
                <c:pt idx="2">
                  <c:v>64</c:v>
                </c:pt>
              </c:numCache>
            </c:numRef>
          </c:val>
          <c:extLst>
            <c:ext xmlns:c16="http://schemas.microsoft.com/office/drawing/2014/chart" uri="{C3380CC4-5D6E-409C-BE32-E72D297353CC}">
              <c16:uniqueId val="{00000005-3582-42FD-887D-EB9DA42ED632}"/>
            </c:ext>
          </c:extLst>
        </c:ser>
        <c:dLbls>
          <c:showLegendKey val="0"/>
          <c:showVal val="0"/>
          <c:showCatName val="0"/>
          <c:showSerName val="0"/>
          <c:showPercent val="0"/>
          <c:showBubbleSize val="0"/>
          <c:showLeaderLines val="1"/>
        </c:dLbls>
      </c:pie3DChart>
      <c:spPr>
        <a:solidFill>
          <a:srgbClr val="FFFFFF"/>
        </a:solidFill>
        <a:ln w="12701">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4759535655058"/>
          <c:y val="0.15946843853820597"/>
          <c:w val="0.42122719734660036"/>
          <c:h val="0.68770764119601324"/>
        </c:manualLayout>
      </c:layout>
      <c:barChart>
        <c:barDir val="bar"/>
        <c:grouping val="clustered"/>
        <c:varyColors val="0"/>
        <c:ser>
          <c:idx val="0"/>
          <c:order val="0"/>
          <c:spPr>
            <a:solidFill>
              <a:srgbClr val="9999FF"/>
            </a:solidFill>
            <a:ln w="12700">
              <a:solidFill>
                <a:srgbClr val="000000"/>
              </a:solidFill>
              <a:prstDash val="solid"/>
            </a:ln>
          </c:spPr>
          <c:invertIfNegative val="0"/>
          <c:dLbls>
            <c:spPr>
              <a:noFill/>
              <a:ln>
                <a:noFill/>
              </a:ln>
              <a:effectLst/>
            </c:spPr>
            <c:txPr>
              <a:bodyPr/>
              <a:lstStyle/>
              <a:p>
                <a:pPr>
                  <a:defRPr sz="800" baseline="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Sheet1!$A$1:$E$1</c:f>
              <c:strCache>
                <c:ptCount val="5"/>
                <c:pt idx="0">
                  <c:v>Commerce</c:v>
                </c:pt>
                <c:pt idx="1">
                  <c:v>Activités spécialisées</c:v>
                </c:pt>
                <c:pt idx="2">
                  <c:v>Information et communication</c:v>
                </c:pt>
                <c:pt idx="3">
                  <c:v>Industries</c:v>
                </c:pt>
                <c:pt idx="4">
                  <c:v>Autres</c:v>
                </c:pt>
              </c:strCache>
            </c:strRef>
          </c:cat>
          <c:val>
            <c:numRef>
              <c:f>Sheet1!$A$2:$E$2</c:f>
              <c:numCache>
                <c:formatCode>0.00%</c:formatCode>
                <c:ptCount val="5"/>
                <c:pt idx="0">
                  <c:v>0.36287887813420411</c:v>
                </c:pt>
                <c:pt idx="1">
                  <c:v>0.20134128808217969</c:v>
                </c:pt>
                <c:pt idx="2">
                  <c:v>0.18734984492634671</c:v>
                </c:pt>
                <c:pt idx="3">
                  <c:v>0.14066747214513095</c:v>
                </c:pt>
                <c:pt idx="4">
                  <c:v>0.10776251671213859</c:v>
                </c:pt>
              </c:numCache>
            </c:numRef>
          </c:val>
          <c:extLst>
            <c:ext xmlns:c16="http://schemas.microsoft.com/office/drawing/2014/chart" uri="{C3380CC4-5D6E-409C-BE32-E72D297353CC}">
              <c16:uniqueId val="{00000000-4BA3-4324-9BE0-40EAE2647759}"/>
            </c:ext>
          </c:extLst>
        </c:ser>
        <c:dLbls>
          <c:showLegendKey val="0"/>
          <c:showVal val="0"/>
          <c:showCatName val="0"/>
          <c:showSerName val="0"/>
          <c:showPercent val="0"/>
          <c:showBubbleSize val="0"/>
        </c:dLbls>
        <c:gapWidth val="150"/>
        <c:axId val="183883264"/>
        <c:axId val="183884800"/>
      </c:barChart>
      <c:catAx>
        <c:axId val="18388326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fr-FR"/>
          </a:p>
        </c:txPr>
        <c:crossAx val="183884800"/>
        <c:crosses val="autoZero"/>
        <c:auto val="1"/>
        <c:lblAlgn val="ctr"/>
        <c:lblOffset val="100"/>
        <c:tickLblSkip val="1"/>
        <c:tickMarkSkip val="1"/>
        <c:noMultiLvlLbl val="0"/>
      </c:catAx>
      <c:valAx>
        <c:axId val="183884800"/>
        <c:scaling>
          <c:orientation val="minMax"/>
        </c:scaling>
        <c:delete val="1"/>
        <c:axPos val="b"/>
        <c:numFmt formatCode="0.00%" sourceLinked="1"/>
        <c:majorTickMark val="out"/>
        <c:minorTickMark val="none"/>
        <c:tickLblPos val="nextTo"/>
        <c:crossAx val="183883264"/>
        <c:crosses val="autoZero"/>
        <c:crossBetween val="between"/>
      </c:valAx>
      <c:spPr>
        <a:noFill/>
        <a:ln w="25401">
          <a:noFill/>
        </a:ln>
      </c:spPr>
    </c:plotArea>
    <c:plotVisOnly val="1"/>
    <c:dispBlanksAs val="gap"/>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479474548440066"/>
          <c:y val="0.2389937106918239"/>
          <c:w val="0.34811165845648606"/>
          <c:h val="0.52830188679245282"/>
        </c:manualLayout>
      </c:layout>
      <c:pie3DChart>
        <c:varyColors val="1"/>
        <c:ser>
          <c:idx val="0"/>
          <c:order val="0"/>
          <c:tx>
            <c:strRef>
              <c:f>Sheet1!$A$2</c:f>
              <c:strCache>
                <c:ptCount val="1"/>
                <c:pt idx="0">
                  <c:v>Nombre décidés favorables</c:v>
                </c:pt>
              </c:strCache>
            </c:strRef>
          </c:tx>
          <c:spPr>
            <a:solidFill>
              <a:srgbClr val="9999FF"/>
            </a:solidFill>
            <a:ln w="12680">
              <a:solidFill>
                <a:srgbClr val="000000"/>
              </a:solidFill>
              <a:prstDash val="solid"/>
            </a:ln>
          </c:spPr>
          <c:explosion val="23"/>
          <c:dPt>
            <c:idx val="0"/>
            <c:bubble3D val="0"/>
            <c:extLst>
              <c:ext xmlns:c16="http://schemas.microsoft.com/office/drawing/2014/chart" uri="{C3380CC4-5D6E-409C-BE32-E72D297353CC}">
                <c16:uniqueId val="{00000000-DEC2-4913-8558-830ED93C9C3D}"/>
              </c:ext>
            </c:extLst>
          </c:dPt>
          <c:dPt>
            <c:idx val="1"/>
            <c:bubble3D val="0"/>
            <c:spPr>
              <a:solidFill>
                <a:srgbClr val="993366"/>
              </a:solidFill>
              <a:ln w="12680">
                <a:solidFill>
                  <a:srgbClr val="000000"/>
                </a:solidFill>
                <a:prstDash val="solid"/>
              </a:ln>
            </c:spPr>
            <c:extLst>
              <c:ext xmlns:c16="http://schemas.microsoft.com/office/drawing/2014/chart" uri="{C3380CC4-5D6E-409C-BE32-E72D297353CC}">
                <c16:uniqueId val="{00000002-DEC2-4913-8558-830ED93C9C3D}"/>
              </c:ext>
            </c:extLst>
          </c:dPt>
          <c:dLbls>
            <c:dLbl>
              <c:idx val="0"/>
              <c:layout>
                <c:manualLayout>
                  <c:x val="3.8834951456310676E-2"/>
                  <c:y val="0"/>
                </c:manualLayout>
              </c:layout>
              <c:tx>
                <c:rich>
                  <a:bodyPr/>
                  <a:lstStyle/>
                  <a:p>
                    <a:r>
                      <a:rPr lang="en-US"/>
                      <a:t>octrois</a:t>
                    </a:r>
                  </a:p>
                  <a:p>
                    <a:r>
                      <a:rPr lang="en-US"/>
                      <a:t>79%</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DEC2-4913-8558-830ED93C9C3D}"/>
                </c:ext>
              </c:extLst>
            </c:dLbl>
            <c:dLbl>
              <c:idx val="1"/>
              <c:layout>
                <c:manualLayout>
                  <c:x val="-3.8834951456310676E-2"/>
                  <c:y val="-2.3668639053254437E-2"/>
                </c:manualLayout>
              </c:layout>
              <c:tx>
                <c:rich>
                  <a:bodyPr/>
                  <a:lstStyle/>
                  <a:p>
                    <a:r>
                      <a:rPr lang="en-US"/>
                      <a:t>refus
21%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EC2-4913-8558-830ED93C9C3D}"/>
                </c:ext>
              </c:extLst>
            </c:dLbl>
            <c:numFmt formatCode="0%" sourceLinked="0"/>
            <c:spPr>
              <a:noFill/>
              <a:ln w="25359">
                <a:noFill/>
              </a:ln>
            </c:spPr>
            <c:txPr>
              <a:bodyPr/>
              <a:lstStyle/>
              <a:p>
                <a:pPr>
                  <a:defRPr sz="799"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décidés favorables</c:v>
                </c:pt>
                <c:pt idx="1">
                  <c:v>décidés défavorables</c:v>
                </c:pt>
              </c:strCache>
            </c:strRef>
          </c:cat>
          <c:val>
            <c:numRef>
              <c:f>Sheet1!$B$2:$C$2</c:f>
              <c:numCache>
                <c:formatCode>General</c:formatCode>
                <c:ptCount val="2"/>
                <c:pt idx="0">
                  <c:v>1780</c:v>
                </c:pt>
                <c:pt idx="1">
                  <c:v>463</c:v>
                </c:pt>
              </c:numCache>
            </c:numRef>
          </c:val>
          <c:extLst>
            <c:ext xmlns:c16="http://schemas.microsoft.com/office/drawing/2014/chart" uri="{C3380CC4-5D6E-409C-BE32-E72D297353CC}">
              <c16:uniqueId val="{00000003-DEC2-4913-8558-830ED93C9C3D}"/>
            </c:ext>
          </c:extLst>
        </c:ser>
        <c:dLbls>
          <c:showLegendKey val="0"/>
          <c:showVal val="0"/>
          <c:showCatName val="0"/>
          <c:showSerName val="0"/>
          <c:showPercent val="0"/>
          <c:showBubbleSize val="0"/>
          <c:showLeaderLines val="1"/>
        </c:dLbls>
      </c:pie3DChart>
      <c:spPr>
        <a:solidFill>
          <a:srgbClr val="FFFFFF"/>
        </a:solidFill>
        <a:ln w="12680">
          <a:solidFill>
            <a:srgbClr val="FFFFFF"/>
          </a:solidFill>
          <a:prstDash val="solid"/>
        </a:ln>
      </c:spPr>
    </c:plotArea>
    <c:plotVisOnly val="1"/>
    <c:dispBlanksAs val="zero"/>
    <c:showDLblsOverMax val="0"/>
  </c:chart>
  <c:spPr>
    <a:noFill/>
    <a:ln>
      <a:noFill/>
    </a:ln>
  </c:spPr>
  <c:txPr>
    <a:bodyPr/>
    <a:lstStyle/>
    <a:p>
      <a:pPr>
        <a:defRPr sz="799"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989618834959"/>
          <c:y val="6.2444833284728295E-2"/>
          <c:w val="0.82476190476190481"/>
          <c:h val="0.86942675159235672"/>
        </c:manualLayout>
      </c:layout>
      <c:barChart>
        <c:barDir val="bar"/>
        <c:grouping val="clustered"/>
        <c:varyColors val="0"/>
        <c:ser>
          <c:idx val="1"/>
          <c:order val="0"/>
          <c:spPr>
            <a:solidFill>
              <a:srgbClr val="9999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9"/>
                <c:pt idx="0">
                  <c:v>Autres</c:v>
                </c:pt>
                <c:pt idx="1">
                  <c:v>Marketing</c:v>
                </c:pt>
                <c:pt idx="2">
                  <c:v>Management</c:v>
                </c:pt>
                <c:pt idx="3">
                  <c:v>Informatique</c:v>
                </c:pt>
                <c:pt idx="4">
                  <c:v>Juridique</c:v>
                </c:pt>
                <c:pt idx="5">
                  <c:v>Technique</c:v>
                </c:pt>
                <c:pt idx="6">
                  <c:v>Certification</c:v>
                </c:pt>
                <c:pt idx="7">
                  <c:v>Financement</c:v>
                </c:pt>
                <c:pt idx="8">
                  <c:v>Environnement</c:v>
                </c:pt>
              </c:strCache>
            </c:strRef>
          </c:cat>
          <c:val>
            <c:numRef>
              <c:f>Sheet1!$A$3:$I$3</c:f>
              <c:numCache>
                <c:formatCode>0.00%</c:formatCode>
                <c:ptCount val="9"/>
                <c:pt idx="0">
                  <c:v>3.6823935558112773E-2</c:v>
                </c:pt>
                <c:pt idx="1">
                  <c:v>0.27502876869965476</c:v>
                </c:pt>
                <c:pt idx="2">
                  <c:v>0.22554660529344073</c:v>
                </c:pt>
                <c:pt idx="3">
                  <c:v>0.2140391254315305</c:v>
                </c:pt>
                <c:pt idx="4">
                  <c:v>8.6306098964326811E-2</c:v>
                </c:pt>
                <c:pt idx="5">
                  <c:v>5.2934407364787113E-2</c:v>
                </c:pt>
                <c:pt idx="6">
                  <c:v>4.2577675489067893E-2</c:v>
                </c:pt>
                <c:pt idx="7">
                  <c:v>3.5673187571921748E-2</c:v>
                </c:pt>
                <c:pt idx="8">
                  <c:v>3.1070195627157654E-2</c:v>
                </c:pt>
              </c:numCache>
            </c:numRef>
          </c:val>
          <c:extLst>
            <c:ext xmlns:c16="http://schemas.microsoft.com/office/drawing/2014/chart" uri="{C3380CC4-5D6E-409C-BE32-E72D297353CC}">
              <c16:uniqueId val="{00000000-8647-4D73-808A-367316A61840}"/>
            </c:ext>
          </c:extLst>
        </c:ser>
        <c:dLbls>
          <c:showLegendKey val="0"/>
          <c:showVal val="1"/>
          <c:showCatName val="0"/>
          <c:showSerName val="0"/>
          <c:showPercent val="0"/>
          <c:showBubbleSize val="0"/>
        </c:dLbls>
        <c:gapWidth val="150"/>
        <c:axId val="183047296"/>
        <c:axId val="183048832"/>
      </c:barChart>
      <c:catAx>
        <c:axId val="1830472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ln w="9525">
            <a:noFill/>
          </a:ln>
        </c:spPr>
        <c:crossAx val="18304729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59504132231404"/>
          <c:y val="0.10666666666666667"/>
          <c:w val="0.75702479338842976"/>
          <c:h val="0.84444444444444444"/>
        </c:manualLayout>
      </c:layout>
      <c:barChart>
        <c:barDir val="bar"/>
        <c:grouping val="clustered"/>
        <c:varyColors val="0"/>
        <c:ser>
          <c:idx val="1"/>
          <c:order val="0"/>
          <c:spPr>
            <a:solidFill>
              <a:srgbClr val="9999FF"/>
            </a:solidFill>
          </c:spPr>
          <c:invertIfNegative val="0"/>
          <c:dPt>
            <c:idx val="5"/>
            <c:invertIfNegative val="0"/>
            <c:bubble3D val="0"/>
            <c:spPr>
              <a:solidFill>
                <a:srgbClr val="9999FF"/>
              </a:solidFill>
              <a:ln>
                <a:solidFill>
                  <a:schemeClr val="accent1"/>
                </a:solidFill>
              </a:ln>
            </c:spPr>
            <c:extLst>
              <c:ext xmlns:c16="http://schemas.microsoft.com/office/drawing/2014/chart" uri="{C3380CC4-5D6E-409C-BE32-E72D297353CC}">
                <c16:uniqueId val="{00000001-F713-4ADF-B369-3857B161C64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8"/>
                <c:pt idx="0">
                  <c:v>Autres</c:v>
                </c:pt>
                <c:pt idx="1">
                  <c:v>Management</c:v>
                </c:pt>
                <c:pt idx="2">
                  <c:v>Langues</c:v>
                </c:pt>
                <c:pt idx="3">
                  <c:v>Coaching</c:v>
                </c:pt>
                <c:pt idx="4">
                  <c:v>Informatique</c:v>
                </c:pt>
                <c:pt idx="5">
                  <c:v>Technique</c:v>
                </c:pt>
                <c:pt idx="6">
                  <c:v>Marketing</c:v>
                </c:pt>
                <c:pt idx="7">
                  <c:v>Juridique</c:v>
                </c:pt>
              </c:strCache>
            </c:strRef>
          </c:cat>
          <c:val>
            <c:numRef>
              <c:f>Sheet1!$A$3:$I$3</c:f>
              <c:numCache>
                <c:formatCode>0.00%</c:formatCode>
                <c:ptCount val="8"/>
                <c:pt idx="0">
                  <c:v>3.6222509702457953E-2</c:v>
                </c:pt>
                <c:pt idx="1">
                  <c:v>0.49288486416558863</c:v>
                </c:pt>
                <c:pt idx="2">
                  <c:v>0.13324708926261319</c:v>
                </c:pt>
                <c:pt idx="3">
                  <c:v>0.1073738680465718</c:v>
                </c:pt>
                <c:pt idx="4">
                  <c:v>7.2445019404915906E-2</c:v>
                </c:pt>
                <c:pt idx="5">
                  <c:v>6.3389391979301421E-2</c:v>
                </c:pt>
                <c:pt idx="6">
                  <c:v>5.8214747736093142E-2</c:v>
                </c:pt>
                <c:pt idx="7">
                  <c:v>3.6222509702457953E-2</c:v>
                </c:pt>
              </c:numCache>
            </c:numRef>
          </c:val>
          <c:extLst>
            <c:ext xmlns:c16="http://schemas.microsoft.com/office/drawing/2014/chart" uri="{C3380CC4-5D6E-409C-BE32-E72D297353CC}">
              <c16:uniqueId val="{00000002-F713-4ADF-B369-3857B161C645}"/>
            </c:ext>
          </c:extLst>
        </c:ser>
        <c:dLbls>
          <c:showLegendKey val="0"/>
          <c:showVal val="0"/>
          <c:showCatName val="0"/>
          <c:showSerName val="0"/>
          <c:showPercent val="0"/>
          <c:showBubbleSize val="0"/>
        </c:dLbls>
        <c:gapWidth val="150"/>
        <c:axId val="183102080"/>
        <c:axId val="181342592"/>
      </c:barChart>
      <c:catAx>
        <c:axId val="1831020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fr-FR"/>
          </a:p>
        </c:txPr>
        <c:crossAx val="181342592"/>
        <c:crosses val="autoZero"/>
        <c:auto val="1"/>
        <c:lblAlgn val="ctr"/>
        <c:lblOffset val="100"/>
        <c:tickLblSkip val="1"/>
        <c:tickMarkSkip val="1"/>
        <c:noMultiLvlLbl val="0"/>
      </c:catAx>
      <c:valAx>
        <c:axId val="181342592"/>
        <c:scaling>
          <c:orientation val="minMax"/>
        </c:scaling>
        <c:delete val="1"/>
        <c:axPos val="b"/>
        <c:numFmt formatCode="0.00%" sourceLinked="1"/>
        <c:majorTickMark val="out"/>
        <c:minorTickMark val="none"/>
        <c:tickLblPos val="nextTo"/>
        <c:crossAx val="18310208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998511380107337"/>
          <c:y val="0.24327757537770464"/>
          <c:w val="0.40371621621621623"/>
          <c:h val="0.49738219895287961"/>
        </c:manualLayout>
      </c:layout>
      <c:pie3DChart>
        <c:varyColors val="1"/>
        <c:ser>
          <c:idx val="0"/>
          <c:order val="0"/>
          <c:tx>
            <c:strRef>
              <c:f>Sheet1!$A$2</c:f>
              <c:strCache>
                <c:ptCount val="1"/>
                <c:pt idx="0">
                  <c:v>Dossiers à l'introduction</c:v>
                </c:pt>
              </c:strCache>
            </c:strRef>
          </c:tx>
          <c:spPr>
            <a:solidFill>
              <a:srgbClr val="9999FF"/>
            </a:solidFill>
            <a:ln w="12700">
              <a:solidFill>
                <a:srgbClr val="000000"/>
              </a:solidFill>
              <a:prstDash val="solid"/>
            </a:ln>
          </c:spPr>
          <c:explosion val="23"/>
          <c:dPt>
            <c:idx val="0"/>
            <c:bubble3D val="0"/>
            <c:extLst>
              <c:ext xmlns:c16="http://schemas.microsoft.com/office/drawing/2014/chart" uri="{C3380CC4-5D6E-409C-BE32-E72D297353CC}">
                <c16:uniqueId val="{00000000-0FA3-4C8D-8D89-F3F4259250B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0FA3-4C8D-8D89-F3F4259250B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0FA3-4C8D-8D89-F3F4259250B7}"/>
              </c:ext>
            </c:extLst>
          </c:dPt>
          <c:dLbls>
            <c:dLbl>
              <c:idx val="0"/>
              <c:layout>
                <c:manualLayout>
                  <c:x val="1.3266998341625208E-2"/>
                  <c:y val="5.3067993366500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FA3-4C8D-8D89-F3F4259250B7}"/>
                </c:ext>
              </c:extLst>
            </c:dLbl>
            <c:dLbl>
              <c:idx val="1"/>
              <c:layout>
                <c:manualLayout>
                  <c:x val="-2.6533996683250415E-2"/>
                  <c:y val="-1.32669983416252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FA3-4C8D-8D89-F3F4259250B7}"/>
                </c:ext>
              </c:extLst>
            </c:dLbl>
            <c:dLbl>
              <c:idx val="2"/>
              <c:layout>
                <c:manualLayout>
                  <c:x val="1.547816473189607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FA3-4C8D-8D89-F3F4259250B7}"/>
                </c:ext>
              </c:extLst>
            </c:dLbl>
            <c:numFmt formatCode="0%" sourceLinked="0"/>
            <c:spPr>
              <a:noFill/>
              <a:ln w="25399">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1255</c:v>
                </c:pt>
                <c:pt idx="1">
                  <c:v>292</c:v>
                </c:pt>
                <c:pt idx="2">
                  <c:v>109</c:v>
                </c:pt>
              </c:numCache>
            </c:numRef>
          </c:val>
          <c:extLst>
            <c:ext xmlns:c16="http://schemas.microsoft.com/office/drawing/2014/chart" uri="{C3380CC4-5D6E-409C-BE32-E72D297353CC}">
              <c16:uniqueId val="{00000005-0FA3-4C8D-8D89-F3F4259250B7}"/>
            </c:ext>
          </c:extLst>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plotVisOnly val="1"/>
    <c:dispBlanksAs val="zero"/>
    <c:showDLblsOverMax val="0"/>
  </c:chart>
  <c:spPr>
    <a:noFill/>
    <a:ln>
      <a:noFill/>
    </a:ln>
  </c:spPr>
  <c:txPr>
    <a:bodyPr/>
    <a:lstStyle/>
    <a:p>
      <a:pPr>
        <a:defRPr sz="850" b="1" i="0" u="none" strike="noStrike" baseline="0">
          <a:solidFill>
            <a:srgbClr val="000000"/>
          </a:solidFill>
          <a:latin typeface="Arial"/>
          <a:ea typeface="Arial"/>
          <a:cs typeface="Aria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42625607779577"/>
          <c:y val="0.17721518987341772"/>
          <c:w val="0.50243111831442466"/>
          <c:h val="0.65189873417721522"/>
        </c:manualLayout>
      </c:layout>
      <c:barChart>
        <c:barDir val="bar"/>
        <c:grouping val="clustered"/>
        <c:varyColors val="0"/>
        <c:ser>
          <c:idx val="1"/>
          <c:order val="0"/>
          <c:spPr>
            <a:solidFill>
              <a:srgbClr val="9999FF"/>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9"/>
                <c:pt idx="0">
                  <c:v>Autres</c:v>
                </c:pt>
                <c:pt idx="1">
                  <c:v>Activités spécialisées</c:v>
                </c:pt>
                <c:pt idx="2">
                  <c:v>Information et communication</c:v>
                </c:pt>
                <c:pt idx="3">
                  <c:v>Commerce</c:v>
                </c:pt>
                <c:pt idx="4">
                  <c:v>Industrie</c:v>
                </c:pt>
                <c:pt idx="5">
                  <c:v>Services administratifs</c:v>
                </c:pt>
                <c:pt idx="6">
                  <c:v>HORECA</c:v>
                </c:pt>
                <c:pt idx="7">
                  <c:v>Construction</c:v>
                </c:pt>
                <c:pt idx="8">
                  <c:v>Activités immobilières</c:v>
                </c:pt>
              </c:strCache>
            </c:strRef>
          </c:cat>
          <c:val>
            <c:numRef>
              <c:f>Sheet1!$A$3:$I$3</c:f>
              <c:numCache>
                <c:formatCode>0.00%</c:formatCode>
                <c:ptCount val="9"/>
                <c:pt idx="0">
                  <c:v>9.469106177170114E-2</c:v>
                </c:pt>
                <c:pt idx="1">
                  <c:v>0.22973874915294773</c:v>
                </c:pt>
                <c:pt idx="2">
                  <c:v>0.22459175402931134</c:v>
                </c:pt>
                <c:pt idx="3">
                  <c:v>0.17399843212287905</c:v>
                </c:pt>
                <c:pt idx="4">
                  <c:v>8.0287426422715621E-2</c:v>
                </c:pt>
                <c:pt idx="5">
                  <c:v>7.162753617411409E-2</c:v>
                </c:pt>
                <c:pt idx="6">
                  <c:v>4.6347085475877278E-2</c:v>
                </c:pt>
                <c:pt idx="7">
                  <c:v>4.5566229521265995E-2</c:v>
                </c:pt>
                <c:pt idx="8">
                  <c:v>3.315172532918776E-2</c:v>
                </c:pt>
              </c:numCache>
            </c:numRef>
          </c:val>
          <c:extLst>
            <c:ext xmlns:c16="http://schemas.microsoft.com/office/drawing/2014/chart" uri="{C3380CC4-5D6E-409C-BE32-E72D297353CC}">
              <c16:uniqueId val="{00000000-9C3D-43EC-A8F6-2FC073F6DBFB}"/>
            </c:ext>
          </c:extLst>
        </c:ser>
        <c:dLbls>
          <c:showLegendKey val="0"/>
          <c:showVal val="0"/>
          <c:showCatName val="0"/>
          <c:showSerName val="0"/>
          <c:showPercent val="0"/>
          <c:showBubbleSize val="0"/>
        </c:dLbls>
        <c:gapWidth val="150"/>
        <c:axId val="183373824"/>
        <c:axId val="183375360"/>
      </c:barChart>
      <c:catAx>
        <c:axId val="183373824"/>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fr-FR"/>
          </a:p>
        </c:txPr>
        <c:crossAx val="183375360"/>
        <c:crosses val="autoZero"/>
        <c:auto val="1"/>
        <c:lblAlgn val="ctr"/>
        <c:lblOffset val="100"/>
        <c:tickLblSkip val="1"/>
        <c:tickMarkSkip val="1"/>
        <c:noMultiLvlLbl val="0"/>
      </c:catAx>
      <c:valAx>
        <c:axId val="183375360"/>
        <c:scaling>
          <c:orientation val="minMax"/>
        </c:scaling>
        <c:delete val="1"/>
        <c:axPos val="b"/>
        <c:numFmt formatCode="0.00%" sourceLinked="1"/>
        <c:majorTickMark val="out"/>
        <c:minorTickMark val="none"/>
        <c:tickLblPos val="nextTo"/>
        <c:crossAx val="183373824"/>
        <c:crosses val="autoZero"/>
        <c:crossBetween val="between"/>
      </c:valAx>
      <c:spPr>
        <a:noFill/>
        <a:ln w="25321">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40098913255673"/>
          <c:y val="0.23917082506751028"/>
          <c:w val="0.25363276089828268"/>
          <c:h val="0.53521126760563376"/>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prstDash val="solid"/>
            </a:ln>
          </c:spPr>
          <c:explosion val="23"/>
          <c:dPt>
            <c:idx val="0"/>
            <c:bubble3D val="0"/>
            <c:extLst>
              <c:ext xmlns:c16="http://schemas.microsoft.com/office/drawing/2014/chart" uri="{C3380CC4-5D6E-409C-BE32-E72D297353CC}">
                <c16:uniqueId val="{00000000-4F35-41DA-B986-BBCA83A2D988}"/>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02-4F35-41DA-B986-BBCA83A2D988}"/>
              </c:ext>
            </c:extLst>
          </c:dPt>
          <c:dLbls>
            <c:dLbl>
              <c:idx val="0"/>
              <c:layout>
                <c:manualLayout>
                  <c:x val="3.3057851239669422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F35-41DA-B986-BBCA83A2D988}"/>
                </c:ext>
              </c:extLst>
            </c:dLbl>
            <c:dLbl>
              <c:idx val="1"/>
              <c:layout>
                <c:manualLayout>
                  <c:x val="-3.5260349615389756E-2"/>
                  <c:y val="1.10596734696721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F35-41DA-B986-BBCA83A2D988}"/>
                </c:ext>
              </c:extLst>
            </c:dLbl>
            <c:numFmt formatCode="0%" sourceLinked="0"/>
            <c:spPr>
              <a:noFill/>
              <a:ln w="25334">
                <a:noFill/>
              </a:ln>
            </c:spPr>
            <c:txPr>
              <a:bodyPr/>
              <a:lstStyle/>
              <a:p>
                <a:pPr algn="r">
                  <a:defRPr sz="873"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décidés favorables</c:v>
                </c:pt>
                <c:pt idx="1">
                  <c:v>décidés défavorables</c:v>
                </c:pt>
              </c:strCache>
            </c:strRef>
          </c:cat>
          <c:val>
            <c:numRef>
              <c:f>Sheet1!$B$2:$C$2</c:f>
              <c:numCache>
                <c:formatCode>General</c:formatCode>
                <c:ptCount val="2"/>
                <c:pt idx="0">
                  <c:v>403</c:v>
                </c:pt>
                <c:pt idx="1">
                  <c:v>199</c:v>
                </c:pt>
              </c:numCache>
            </c:numRef>
          </c:val>
          <c:extLst>
            <c:ext xmlns:c16="http://schemas.microsoft.com/office/drawing/2014/chart" uri="{C3380CC4-5D6E-409C-BE32-E72D297353CC}">
              <c16:uniqueId val="{00000003-4F35-41DA-B986-BBCA83A2D988}"/>
            </c:ext>
          </c:extLst>
        </c:ser>
        <c:dLbls>
          <c:showLegendKey val="0"/>
          <c:showVal val="0"/>
          <c:showCatName val="0"/>
          <c:showSerName val="0"/>
          <c:showPercent val="0"/>
          <c:showBubbleSize val="0"/>
          <c:showLeaderLines val="1"/>
        </c:dLbls>
      </c:pie3DChart>
      <c:spPr>
        <a:solidFill>
          <a:srgbClr val="FFFFFF"/>
        </a:solidFill>
        <a:ln w="12667">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55475783277913"/>
          <c:y val="0.24344083262504609"/>
          <c:w val="0.35276073619631904"/>
          <c:h val="0.53529411764705881"/>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prstDash val="solid"/>
            </a:ln>
          </c:spPr>
          <c:explosion val="23"/>
          <c:dPt>
            <c:idx val="0"/>
            <c:bubble3D val="0"/>
            <c:extLst>
              <c:ext xmlns:c16="http://schemas.microsoft.com/office/drawing/2014/chart" uri="{C3380CC4-5D6E-409C-BE32-E72D297353CC}">
                <c16:uniqueId val="{00000000-97D7-487C-8F96-D03E85FD918F}"/>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02-97D7-487C-8F96-D03E85FD918F}"/>
              </c:ext>
            </c:extLst>
          </c:dPt>
          <c:dLbls>
            <c:dLbl>
              <c:idx val="0"/>
              <c:layout>
                <c:manualLayout>
                  <c:x val="6.6115702479338841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7D7-487C-8F96-D03E85FD918F}"/>
                </c:ext>
              </c:extLst>
            </c:dLbl>
            <c:dLbl>
              <c:idx val="1"/>
              <c:layout>
                <c:manualLayout>
                  <c:x val="-4.4077134986225897E-2"/>
                  <c:y val="-7.4524884339629224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7D7-487C-8F96-D03E85FD918F}"/>
                </c:ext>
              </c:extLst>
            </c:dLbl>
            <c:numFmt formatCode="0%" sourceLinked="0"/>
            <c:spPr>
              <a:noFill/>
              <a:ln w="25334">
                <a:noFill/>
              </a:ln>
            </c:spPr>
            <c:txPr>
              <a:bodyPr/>
              <a:lstStyle/>
              <a:p>
                <a:pPr>
                  <a:defRPr sz="848"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116</c:v>
                </c:pt>
                <c:pt idx="1">
                  <c:v>285</c:v>
                </c:pt>
              </c:numCache>
            </c:numRef>
          </c:val>
          <c:extLst>
            <c:ext xmlns:c16="http://schemas.microsoft.com/office/drawing/2014/chart" uri="{C3380CC4-5D6E-409C-BE32-E72D297353CC}">
              <c16:uniqueId val="{00000003-97D7-487C-8F96-D03E85FD918F}"/>
            </c:ext>
          </c:extLst>
        </c:ser>
        <c:dLbls>
          <c:showLegendKey val="0"/>
          <c:showVal val="0"/>
          <c:showCatName val="0"/>
          <c:showSerName val="0"/>
          <c:showPercent val="0"/>
          <c:showBubbleSize val="0"/>
          <c:showLeaderLines val="1"/>
        </c:dLbls>
      </c:pie3DChart>
      <c:spPr>
        <a:solidFill>
          <a:srgbClr val="FFFFFF"/>
        </a:solidFill>
        <a:ln w="12667">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607531969198446"/>
          <c:y val="0.23809512447307724"/>
          <c:w val="0.27864214992927866"/>
          <c:h val="0.53061224489795922"/>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prstDash val="solid"/>
            </a:ln>
          </c:spPr>
          <c:explosion val="23"/>
          <c:dPt>
            <c:idx val="0"/>
            <c:bubble3D val="0"/>
            <c:extLst>
              <c:ext xmlns:c16="http://schemas.microsoft.com/office/drawing/2014/chart" uri="{C3380CC4-5D6E-409C-BE32-E72D297353CC}">
                <c16:uniqueId val="{00000000-C1C7-4541-A8BE-CA58EE0A07B1}"/>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C1C7-4541-A8BE-CA58EE0A07B1}"/>
              </c:ext>
            </c:extLst>
          </c:dPt>
          <c:dLbls>
            <c:numFmt formatCode="0%" sourceLinked="0"/>
            <c:spPr>
              <a:noFill/>
              <a:ln w="25398">
                <a:noFill/>
              </a:ln>
            </c:spPr>
            <c:txPr>
              <a:bodyPr/>
              <a:lstStyle/>
              <a:p>
                <a:pPr>
                  <a:defRPr sz="9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211</c:v>
                </c:pt>
                <c:pt idx="1">
                  <c:v>190</c:v>
                </c:pt>
              </c:numCache>
            </c:numRef>
          </c:val>
          <c:extLst>
            <c:ext xmlns:c16="http://schemas.microsoft.com/office/drawing/2014/chart" uri="{C3380CC4-5D6E-409C-BE32-E72D297353CC}">
              <c16:uniqueId val="{00000003-C1C7-4541-A8BE-CA58EE0A07B1}"/>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CA15-0A47-4525-8414-A7CCF959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3813</Words>
  <Characters>20972</Characters>
  <Application>Microsoft Office Word</Application>
  <DocSecurity>4</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d’activité de la Direction des Aides aux Entreprises</vt:lpstr>
      <vt:lpstr>Rapport d’activité de la Direction des Aides aux Entreprises</vt:lpstr>
    </vt:vector>
  </TitlesOfParts>
  <Company>M laura.roose icrosoft</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LOCATELLI Fabienne</cp:lastModifiedBy>
  <cp:revision>2</cp:revision>
  <cp:lastPrinted>2014-12-30T09:47:00Z</cp:lastPrinted>
  <dcterms:created xsi:type="dcterms:W3CDTF">2022-04-11T07:46:00Z</dcterms:created>
  <dcterms:modified xsi:type="dcterms:W3CDTF">2022-04-11T07:46:00Z</dcterms:modified>
</cp:coreProperties>
</file>